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bookmarkStart w:id="0" w:name="_GoBack"/>
      <w:bookmarkEnd w:id="0"/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1275"/>
        <w:gridCol w:w="4536"/>
        <w:gridCol w:w="1531"/>
        <w:gridCol w:w="850"/>
      </w:tblGrid>
      <w:tr w:rsidR="005E4EA0" w:rsidRPr="00A36EBE" w:rsidTr="00F35B89">
        <w:trPr>
          <w:trHeight w:val="546"/>
        </w:trPr>
        <w:tc>
          <w:tcPr>
            <w:tcW w:w="704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F35B89">
        <w:trPr>
          <w:trHeight w:val="348"/>
        </w:trPr>
        <w:tc>
          <w:tcPr>
            <w:tcW w:w="704" w:type="dxa"/>
          </w:tcPr>
          <w:p w:rsidR="0043268E" w:rsidRDefault="001C17B2">
            <w:r>
              <w:t>1</w:t>
            </w:r>
          </w:p>
        </w:tc>
        <w:tc>
          <w:tcPr>
            <w:tcW w:w="1134" w:type="dxa"/>
          </w:tcPr>
          <w:p w:rsidR="0043268E" w:rsidRDefault="001C17B2">
            <w:r>
              <w:t>06.02.2023</w:t>
            </w:r>
          </w:p>
        </w:tc>
        <w:tc>
          <w:tcPr>
            <w:tcW w:w="3119" w:type="dxa"/>
          </w:tcPr>
          <w:p w:rsidR="001C17B2" w:rsidRPr="001C17B2" w:rsidRDefault="001C17B2" w:rsidP="001C1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  <w:t>- Sa çështje me objekt dhunën në familje janë regjistruar gjatë vitit 2022?</w:t>
            </w:r>
          </w:p>
          <w:p w:rsidR="001C17B2" w:rsidRPr="001C17B2" w:rsidRDefault="001C17B2" w:rsidP="001C1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  <w:t>- Sa urdhëra mbrojtjeje janë dhënë për gratë gjatë vitit 2022?</w:t>
            </w:r>
          </w:p>
          <w:p w:rsidR="0043268E" w:rsidRDefault="0043268E"/>
        </w:tc>
        <w:tc>
          <w:tcPr>
            <w:tcW w:w="1275" w:type="dxa"/>
          </w:tcPr>
          <w:p w:rsidR="0043268E" w:rsidRDefault="001C17B2" w:rsidP="009A0503">
            <w:r>
              <w:t>09.02.2023</w:t>
            </w:r>
          </w:p>
        </w:tc>
        <w:tc>
          <w:tcPr>
            <w:tcW w:w="4536" w:type="dxa"/>
          </w:tcPr>
          <w:p w:rsidR="001C17B2" w:rsidRPr="001C17B2" w:rsidRDefault="001C17B2" w:rsidP="001C17B2">
            <w:pPr>
              <w:spacing w:line="235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Gjykatën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Rrethit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Gjyqësor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Kukës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vitin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2022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janë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regjistruar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5</w:t>
            </w:r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(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pesë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)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çështje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penale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të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akuzuar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kryerjen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vepres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penale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: </w:t>
            </w:r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 w:eastAsia="sq-AL"/>
              </w:rPr>
              <w:t>“Dhunë në familje” </w:t>
            </w:r>
          </w:p>
          <w:p w:rsidR="001C17B2" w:rsidRPr="001C17B2" w:rsidRDefault="001C17B2" w:rsidP="001C17B2">
            <w:pPr>
              <w:spacing w:line="235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 w:eastAsia="sq-AL"/>
              </w:rPr>
              <w:t>       parashikuar nga neni 130/a, 2, 3, 4 i Kodit penal</w:t>
            </w:r>
          </w:p>
          <w:p w:rsidR="001C17B2" w:rsidRPr="001C17B2" w:rsidRDefault="001C17B2" w:rsidP="001C17B2">
            <w:pPr>
              <w:spacing w:line="235" w:lineRule="atLeast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</w:t>
            </w:r>
          </w:p>
          <w:p w:rsidR="001C17B2" w:rsidRPr="001C17B2" w:rsidRDefault="001C17B2" w:rsidP="001C17B2">
            <w:pPr>
              <w:spacing w:line="235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-</w:t>
            </w:r>
            <w:r w:rsidRPr="001C17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sq-AL"/>
              </w:rPr>
              <w:t>          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Gjykatën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Rrethit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Gjyqësor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Kukës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vitin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2022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janë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miratuar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</w:t>
            </w:r>
            <w:r w:rsidRPr="001C1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14</w:t>
            </w:r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(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Katërmbëdhjetë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)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kërkesa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lëshim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urdhëri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mbrojtje</w:t>
            </w:r>
            <w:proofErr w:type="spellEnd"/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.</w:t>
            </w:r>
          </w:p>
          <w:p w:rsidR="001C17B2" w:rsidRPr="001C17B2" w:rsidRDefault="001C17B2" w:rsidP="001C17B2">
            <w:pPr>
              <w:spacing w:line="235" w:lineRule="atLeast"/>
              <w:ind w:left="720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</w:t>
            </w:r>
          </w:p>
          <w:p w:rsidR="008F4474" w:rsidRDefault="008F4474"/>
        </w:tc>
        <w:tc>
          <w:tcPr>
            <w:tcW w:w="1531" w:type="dxa"/>
          </w:tcPr>
          <w:p w:rsidR="0043268E" w:rsidRDefault="001C17B2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850" w:type="dxa"/>
          </w:tcPr>
          <w:p w:rsidR="0043268E" w:rsidRDefault="001C17B2">
            <w:r>
              <w:t xml:space="preserve">0 </w:t>
            </w:r>
            <w:proofErr w:type="spellStart"/>
            <w:r>
              <w:t>Leke</w:t>
            </w:r>
            <w:proofErr w:type="spellEnd"/>
          </w:p>
        </w:tc>
      </w:tr>
      <w:tr w:rsidR="005E4EA0" w:rsidTr="00F35B89">
        <w:trPr>
          <w:trHeight w:val="310"/>
        </w:trPr>
        <w:tc>
          <w:tcPr>
            <w:tcW w:w="704" w:type="dxa"/>
          </w:tcPr>
          <w:p w:rsidR="0043268E" w:rsidRDefault="001C17B2">
            <w:r>
              <w:t>2</w:t>
            </w:r>
          </w:p>
        </w:tc>
        <w:tc>
          <w:tcPr>
            <w:tcW w:w="1134" w:type="dxa"/>
          </w:tcPr>
          <w:p w:rsidR="0043268E" w:rsidRDefault="001C17B2">
            <w:r>
              <w:t>14.02.2023</w:t>
            </w:r>
          </w:p>
        </w:tc>
        <w:tc>
          <w:tcPr>
            <w:tcW w:w="3119" w:type="dxa"/>
          </w:tcPr>
          <w:p w:rsidR="001C17B2" w:rsidRPr="001C17B2" w:rsidRDefault="001C17B2" w:rsidP="001C1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  <w:t xml:space="preserve">Kerkoj kopje te të gjitha aktakuzave të </w:t>
            </w:r>
            <w:r w:rsidRPr="001C1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  <w:lastRenderedPageBreak/>
              <w:t>konfirmuara, akuzat qe jane propozuar, dhe aktgjykimeve në</w:t>
            </w:r>
          </w:p>
          <w:p w:rsidR="001C17B2" w:rsidRPr="001C17B2" w:rsidRDefault="001C17B2" w:rsidP="001C1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  <w:t>rastet që zhvillohen para kësaj gjykate për veprën penale të sjelljes së dhunshme në ngjarje sportive apo</w:t>
            </w:r>
          </w:p>
          <w:p w:rsidR="001C17B2" w:rsidRPr="001C17B2" w:rsidRDefault="001C17B2" w:rsidP="001C1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</w:pPr>
            <w:r w:rsidRPr="001C1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  <w:t>tubime publike në periudhën prej datës 1.1.2020. deri më 31.12.2022</w:t>
            </w:r>
          </w:p>
          <w:p w:rsidR="0043268E" w:rsidRDefault="0043268E"/>
        </w:tc>
        <w:tc>
          <w:tcPr>
            <w:tcW w:w="1275" w:type="dxa"/>
          </w:tcPr>
          <w:p w:rsidR="0043268E" w:rsidRDefault="001C17B2">
            <w:r>
              <w:lastRenderedPageBreak/>
              <w:t>23.02.2023</w:t>
            </w:r>
          </w:p>
        </w:tc>
        <w:tc>
          <w:tcPr>
            <w:tcW w:w="4536" w:type="dxa"/>
          </w:tcPr>
          <w:p w:rsidR="0043268E" w:rsidRDefault="001C17B2"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Pas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verifikimit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te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hollësishëm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ne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sistemin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elektronik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te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përpunimit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te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çështjeve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dhe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lastRenderedPageBreak/>
              <w:t xml:space="preserve">ne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regjistra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ju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informojmë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qe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ne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gjykatën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Rrethit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Gjyqësor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Kukes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nuk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kemi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patur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asnje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çështje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ne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lidhje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me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veprat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penale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per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te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cilat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ju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keni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kerkuar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informacion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per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periudhen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2020-2022.</w:t>
            </w:r>
          </w:p>
        </w:tc>
        <w:tc>
          <w:tcPr>
            <w:tcW w:w="1531" w:type="dxa"/>
          </w:tcPr>
          <w:p w:rsidR="0043268E" w:rsidRDefault="001C17B2">
            <w:r>
              <w:lastRenderedPageBreak/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850" w:type="dxa"/>
          </w:tcPr>
          <w:p w:rsidR="0043268E" w:rsidRDefault="001C17B2">
            <w:r>
              <w:t xml:space="preserve">0 </w:t>
            </w:r>
            <w:proofErr w:type="spellStart"/>
            <w:r>
              <w:t>Leke</w:t>
            </w:r>
            <w:proofErr w:type="spellEnd"/>
          </w:p>
        </w:tc>
      </w:tr>
      <w:tr w:rsidR="00F35B89" w:rsidTr="00F35B89">
        <w:trPr>
          <w:trHeight w:val="310"/>
        </w:trPr>
        <w:tc>
          <w:tcPr>
            <w:tcW w:w="704" w:type="dxa"/>
          </w:tcPr>
          <w:p w:rsidR="00F35B89" w:rsidRDefault="00F35B89" w:rsidP="00F35B89">
            <w:r>
              <w:lastRenderedPageBreak/>
              <w:t>3</w:t>
            </w:r>
          </w:p>
        </w:tc>
        <w:tc>
          <w:tcPr>
            <w:tcW w:w="1134" w:type="dxa"/>
          </w:tcPr>
          <w:p w:rsidR="00F35B89" w:rsidRDefault="00F35B89" w:rsidP="00F35B89">
            <w:r>
              <w:t>07.06.2023</w:t>
            </w:r>
          </w:p>
        </w:tc>
        <w:tc>
          <w:tcPr>
            <w:tcW w:w="3119" w:type="dxa"/>
          </w:tcPr>
          <w:p w:rsidR="00F35B89" w:rsidRPr="00F35B89" w:rsidRDefault="00F35B89" w:rsidP="00F35B89">
            <w:pPr>
              <w:shd w:val="clear" w:color="auto" w:fill="FFFFFF"/>
              <w:spacing w:before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Dt.07.06.2023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Lënda: Kërkesë për informacion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Drejtuar: Gjykatës së Shkallës së Parë Kukës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 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 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 w:after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 xml:space="preserve">Të nderuar, në bazë të  Ligjit për të Drejtën e </w:t>
            </w: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lastRenderedPageBreak/>
              <w:t>Informimit, jeni të lutur të konsideroni këtë kërkesë dhe të na ktheni përgjigje sa më  parë!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 w:after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Më 26.09.2022,  Prokuroria e Kukësit i është drejtuar Gjykatës së Shkallës së Parë Kukës me lëndën “ Kërkesë për kthimin e garancisë pasurore” të vendosur  me vendimin  Nr.(55-2021-</w:t>
            </w:r>
            <w:r w:rsidR="00655357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***</w:t>
            </w: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 xml:space="preserve">) </w:t>
            </w:r>
            <w:r w:rsidR="00655357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**</w:t>
            </w: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, datë 10.05.2021 të Gjykatës ë Shkallës së Parë Kukës , për shtetasin A</w:t>
            </w:r>
            <w:r w:rsidR="00655357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*****</w:t>
            </w: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 xml:space="preserve"> A</w:t>
            </w:r>
            <w:r w:rsidR="00655357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*****</w:t>
            </w: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.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 w:after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 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 w:after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Ju rikujtojmë se ne vendimin e gjykatës  nuk është përfshirë pjesa për kthimin e garancisë pasurore.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 w:after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 xml:space="preserve">Luitemi të na informoni saktësisht se përse nuk </w:t>
            </w: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lastRenderedPageBreak/>
              <w:t>është kthyer ende kjo shumë? Cili është gjyqtari ose gjyqtarja që ka në dorë këtë cështje? Kur do të shprehet gjykata për kërkesën që ka bërë prokuroria?</w:t>
            </w:r>
          </w:p>
          <w:p w:rsidR="00F35B89" w:rsidRPr="00F35B89" w:rsidRDefault="00F35B89" w:rsidP="00F35B89">
            <w:pPr>
              <w:shd w:val="clear" w:color="auto" w:fill="FFFFFF"/>
              <w:spacing w:beforeAutospacing="1" w:afterAutospacing="1"/>
              <w:rPr>
                <w:rFonts w:ascii="Helvetica" w:eastAsia="Times New Roman" w:hAnsi="Helvetica" w:cs="Times New Roman"/>
                <w:color w:val="242424"/>
                <w:sz w:val="24"/>
                <w:szCs w:val="24"/>
                <w:lang w:val="sq-AL" w:eastAsia="sq-AL"/>
              </w:rPr>
            </w:pPr>
            <w:r w:rsidRPr="00F35B89">
              <w:rPr>
                <w:rFonts w:ascii="inherit" w:eastAsia="Times New Roman" w:hAnsi="inherit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  <w:t>Faleminderit, paraprakisht!</w:t>
            </w:r>
          </w:p>
          <w:p w:rsidR="00F35B89" w:rsidRPr="001C17B2" w:rsidRDefault="00F35B89" w:rsidP="00655357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q-AL" w:eastAsia="sq-AL"/>
              </w:rPr>
            </w:pPr>
          </w:p>
        </w:tc>
        <w:tc>
          <w:tcPr>
            <w:tcW w:w="1275" w:type="dxa"/>
          </w:tcPr>
          <w:p w:rsidR="00F35B89" w:rsidRDefault="00F35B89" w:rsidP="00F35B89">
            <w:r>
              <w:lastRenderedPageBreak/>
              <w:t>09.06.2023</w:t>
            </w:r>
          </w:p>
        </w:tc>
        <w:tc>
          <w:tcPr>
            <w:tcW w:w="4536" w:type="dxa"/>
          </w:tcPr>
          <w:p w:rsidR="00F35B89" w:rsidRPr="00F35B89" w:rsidRDefault="00F35B89" w:rsidP="00F35B8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</w:p>
          <w:p w:rsidR="00F35B89" w:rsidRPr="00F35B89" w:rsidRDefault="00F35B89" w:rsidP="00F35B8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përgjigje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kërkesës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tuaj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datës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07.06.2023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ku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kërkoni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informacion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çështjen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. </w:t>
            </w:r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***</w:t>
            </w: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akti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objekt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: “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Kërkesë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kthimin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garancisë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pasurore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” 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kërkues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: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Prokuroria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Rrethit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Kukës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palë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interesuar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: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shtetasi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***********</w:t>
            </w: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ju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informojmë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si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më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poshtë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: </w:t>
            </w:r>
          </w:p>
          <w:p w:rsidR="00F35B89" w:rsidRPr="00F35B89" w:rsidRDefault="00F35B89" w:rsidP="00F35B8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Çështja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******</w:t>
            </w: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është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paraqitur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Gjykatën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Rrethit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Gjyqësor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Kukës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proofErr w:type="gram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datë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 </w:t>
            </w:r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*</w:t>
            </w:r>
            <w:proofErr w:type="gramEnd"/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*</w:t>
            </w: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.</w:t>
            </w:r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**</w:t>
            </w: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.2022,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është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shortuar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datë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**</w:t>
            </w: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.</w:t>
            </w:r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**</w:t>
            </w: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.2022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dhe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rënë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gjykim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gjyqtarit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Z.Florin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Demollari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. </w:t>
            </w:r>
          </w:p>
          <w:p w:rsidR="00F35B89" w:rsidRPr="00F35B89" w:rsidRDefault="00F35B89" w:rsidP="00F35B8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Gjyqtari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vazhduar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gjykimin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çështjes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por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arsye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transferimi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një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detyrë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tjetër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çeshtja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datë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10.01.2023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është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rishortuar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lastRenderedPageBreak/>
              <w:t>dhe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kaluar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gjykim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gjyqtarit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Sami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Ujkashi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.  </w:t>
            </w:r>
          </w:p>
          <w:p w:rsidR="00F35B89" w:rsidRPr="00F35B89" w:rsidRDefault="00F35B89" w:rsidP="00F35B8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Z.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Ujkashi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nga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muaji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Janar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vazhdim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nuk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është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paraqitur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punë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arsye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shëndetësore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si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pasojë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nuk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vazhduar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gjykimi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çështjes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.  </w:t>
            </w:r>
          </w:p>
          <w:p w:rsidR="00F35B89" w:rsidRPr="00F35B89" w:rsidRDefault="00F35B89" w:rsidP="00F35B8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Me </w:t>
            </w:r>
            <w:proofErr w:type="spellStart"/>
            <w:proofErr w:type="gram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datë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 25.05.2023</w:t>
            </w:r>
            <w:proofErr w:type="gram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kerkesën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Z.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Ujkashi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gjitha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dosjet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gjykim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pranë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këtij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gjyqtari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janë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rishortuar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,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pasi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gjendja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shëndetësore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tij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bente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pamundur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rikthimin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punë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. </w:t>
            </w:r>
          </w:p>
          <w:p w:rsidR="00F35B89" w:rsidRPr="00F35B89" w:rsidRDefault="00F35B89" w:rsidP="00F35B8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Pas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rishortimit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proofErr w:type="gram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datës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 25</w:t>
            </w:r>
            <w:proofErr w:type="gram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.05.2023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çështjeve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gjykim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Z.Ujkashi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,  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çështja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nr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r w:rsidR="0065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******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akti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cilën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ju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interesoheni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rënë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për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gjykim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gjyqtares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Znj.Suada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Kurti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. </w:t>
            </w:r>
          </w:p>
          <w:p w:rsidR="00F35B89" w:rsidRPr="00F35B89" w:rsidRDefault="00F35B89" w:rsidP="00F35B8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Gjyqtarja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sipas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afateve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ligjore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vazhduar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gjykimin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e 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çështjes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dhe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ka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caktuar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seancë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gjyqësore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me </w:t>
            </w:r>
            <w:proofErr w:type="spellStart"/>
            <w:proofErr w:type="gram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datë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  22</w:t>
            </w:r>
            <w:proofErr w:type="gram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/06/2023  </w:t>
            </w:r>
            <w:proofErr w:type="spellStart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>ora</w:t>
            </w:r>
            <w:proofErr w:type="spellEnd"/>
            <w:r w:rsidRPr="00F3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sq-AL"/>
              </w:rPr>
              <w:t xml:space="preserve"> 11:00. </w:t>
            </w:r>
          </w:p>
          <w:p w:rsidR="00F35B89" w:rsidRPr="00F35B89" w:rsidRDefault="00F35B89" w:rsidP="00F35B89">
            <w:pPr>
              <w:shd w:val="clear" w:color="auto" w:fill="FFFFFF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sq-AL" w:eastAsia="sq-AL"/>
              </w:rPr>
            </w:pPr>
          </w:p>
          <w:p w:rsidR="00F35B89" w:rsidRDefault="00F35B89" w:rsidP="00F35B89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F35B89">
              <w:rPr>
                <w:rFonts w:ascii="Times" w:eastAsia="Times New Roman" w:hAnsi="Times" w:cs="Times New Roman"/>
                <w:color w:val="000000"/>
                <w:sz w:val="24"/>
                <w:szCs w:val="24"/>
                <w:shd w:val="clear" w:color="auto" w:fill="FFFFFF"/>
                <w:lang w:val="sq-AL" w:eastAsia="sq-AL"/>
              </w:rPr>
              <w:t>Ju faleminderit</w:t>
            </w:r>
          </w:p>
        </w:tc>
        <w:tc>
          <w:tcPr>
            <w:tcW w:w="1531" w:type="dxa"/>
          </w:tcPr>
          <w:p w:rsidR="00F35B89" w:rsidRDefault="00F35B89" w:rsidP="00F35B89">
            <w:r>
              <w:lastRenderedPageBreak/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850" w:type="dxa"/>
          </w:tcPr>
          <w:p w:rsidR="00F35B89" w:rsidRDefault="00F35B89" w:rsidP="00F35B89">
            <w:r>
              <w:t xml:space="preserve">0 </w:t>
            </w:r>
            <w:proofErr w:type="spellStart"/>
            <w:r>
              <w:t>Leke</w:t>
            </w:r>
            <w:proofErr w:type="spellEnd"/>
          </w:p>
        </w:tc>
      </w:tr>
      <w:tr w:rsidR="00A06362" w:rsidTr="00F35B89">
        <w:trPr>
          <w:trHeight w:val="310"/>
        </w:trPr>
        <w:tc>
          <w:tcPr>
            <w:tcW w:w="704" w:type="dxa"/>
          </w:tcPr>
          <w:p w:rsidR="00A06362" w:rsidRDefault="00A06362" w:rsidP="00F35B89">
            <w:r>
              <w:lastRenderedPageBreak/>
              <w:t>4</w:t>
            </w:r>
          </w:p>
        </w:tc>
        <w:tc>
          <w:tcPr>
            <w:tcW w:w="1134" w:type="dxa"/>
          </w:tcPr>
          <w:p w:rsidR="00A06362" w:rsidRDefault="00A06362" w:rsidP="00F35B89">
            <w:r>
              <w:t>04.12.2023</w:t>
            </w:r>
          </w:p>
        </w:tc>
        <w:tc>
          <w:tcPr>
            <w:tcW w:w="3119" w:type="dxa"/>
          </w:tcPr>
          <w:p w:rsidR="00D61442" w:rsidRPr="00D6144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quhem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Gentian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Sejrani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Gjatë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veprimtarisë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drejtues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shoqatës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"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Drejtësi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rezultuar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bashkëpunimi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mirëkuptimi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transparenca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institucioneve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publike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vendimmarrëse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ligjzbatuese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dhënë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ndihmë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qenësishme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informimin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shoqërisë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D61442" w:rsidRPr="00D6144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Organizata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nëpërmjet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një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marrëveshje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Ministrinë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Drejtësisë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ofron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ndihmë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ligjore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falas</w:t>
            </w:r>
            <w:proofErr w:type="spellEnd"/>
          </w:p>
          <w:p w:rsidR="00D61442" w:rsidRPr="00D6144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nëpërmjet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paraligjorëve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qytete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Organizata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“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Drejtësi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”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fokus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kryesor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advokimin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mbrojtjen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respektimin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drejtave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lirive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themelore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njeriut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Shqipëri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vecanërisht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grupet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rome-egjiptiane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persona me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aftësi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vecanta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studentët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rinjtë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fëmijët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emigrantët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banorë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/et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lokaliteteve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periferike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etj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).</w:t>
            </w:r>
          </w:p>
          <w:p w:rsidR="00D61442" w:rsidRPr="00D6144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Bazuar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ligjin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119/2014 “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drejtën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informimit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”,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kërkojmë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informacion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gjykata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D61442" w:rsidRPr="00D6144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1.Cili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është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numri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kërkesave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divorc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bashkëshorti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mban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mbiemrin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bashkëshortes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prej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vitit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2010? 2.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Cili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është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numri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kërkesave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njohjen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atësisë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biologjike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bashkëshorti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mban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mbiemrin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bashkëshortes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prej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vitit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2010? 3.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Cili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është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numri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kërkesave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kundërshtimin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prezumimit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ligjor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atësisë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kur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bashkëshorti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mban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mbiemrin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bashkëshortes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prej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vitit</w:t>
            </w:r>
            <w:proofErr w:type="spellEnd"/>
            <w:r w:rsidRPr="00D614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2010?</w:t>
            </w:r>
          </w:p>
          <w:p w:rsidR="00A06362" w:rsidRPr="00F35B89" w:rsidRDefault="00A06362" w:rsidP="00F35B89">
            <w:pPr>
              <w:shd w:val="clear" w:color="auto" w:fill="FFFFFF"/>
              <w:spacing w:beforeAutospacing="1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</w:pPr>
          </w:p>
        </w:tc>
        <w:tc>
          <w:tcPr>
            <w:tcW w:w="1275" w:type="dxa"/>
          </w:tcPr>
          <w:p w:rsidR="00A06362" w:rsidRDefault="00A06362" w:rsidP="00F35B89"/>
        </w:tc>
        <w:tc>
          <w:tcPr>
            <w:tcW w:w="4536" w:type="dxa"/>
          </w:tcPr>
          <w:p w:rsidR="00A06362" w:rsidRPr="00F35B89" w:rsidRDefault="00A06362" w:rsidP="00F35B8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</w:p>
        </w:tc>
        <w:tc>
          <w:tcPr>
            <w:tcW w:w="1531" w:type="dxa"/>
          </w:tcPr>
          <w:p w:rsidR="00A06362" w:rsidRDefault="00A06362" w:rsidP="00F35B89"/>
        </w:tc>
        <w:tc>
          <w:tcPr>
            <w:tcW w:w="850" w:type="dxa"/>
          </w:tcPr>
          <w:p w:rsidR="00A06362" w:rsidRDefault="00A06362" w:rsidP="00F35B89"/>
        </w:tc>
      </w:tr>
      <w:tr w:rsidR="00D61442" w:rsidTr="00F35B89">
        <w:trPr>
          <w:trHeight w:val="310"/>
        </w:trPr>
        <w:tc>
          <w:tcPr>
            <w:tcW w:w="704" w:type="dxa"/>
          </w:tcPr>
          <w:p w:rsidR="00D61442" w:rsidRDefault="00D61442" w:rsidP="00D61442">
            <w:r>
              <w:t>5</w:t>
            </w:r>
          </w:p>
        </w:tc>
        <w:tc>
          <w:tcPr>
            <w:tcW w:w="1134" w:type="dxa"/>
          </w:tcPr>
          <w:p w:rsidR="00D61442" w:rsidRDefault="00D61442" w:rsidP="00D61442">
            <w:r>
              <w:t>07.12.2023</w:t>
            </w:r>
          </w:p>
        </w:tc>
        <w:tc>
          <w:tcPr>
            <w:tcW w:w="3119" w:type="dxa"/>
          </w:tcPr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Gjatë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vitit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2023, a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pasur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referime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Prokuroria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veprën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penale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sanksionuar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nenin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202/a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Kodin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Penal “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Tregtimi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specieve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mbrojtura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florës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faunës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egër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Shtuar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</w:t>
            </w:r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ligjin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44/2019,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18.7.2019)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Tregtimi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ekzemplarëve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specieve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mbrojtura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florës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faunës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egër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pjesëve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apo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produkteve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tyre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duke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shkelur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kërkesat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legjislacionit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fuqi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mbrojtjen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faunës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egër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zonat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mbrojtura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apo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lejeve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autorizimeve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lëshuara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organet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kompetente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me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përjashtim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rasteve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një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gjë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tillë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ndodhur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një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sasi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papërfillshme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këtyre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ekzemplarëve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ndikim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papërfillshëm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statusin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ruajtjes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specieve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dënohet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gjobë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burgim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deri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vjet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.”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Nëse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çfarë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faze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është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gjykimi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?</w:t>
            </w:r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2. Po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gjatë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viteve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2022, 2021, 2020, 2019 a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pasur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referime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vepër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penale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cili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është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fati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këtyre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referime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?</w:t>
            </w:r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 A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janë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dhënë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dënime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vitet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fundit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këtë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vepër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penale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?</w:t>
            </w:r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Shënim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Informacionet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do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vihen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dispozicion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jenë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detajuara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mundshme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dhe</w:t>
            </w:r>
            <w:proofErr w:type="spellEnd"/>
          </w:p>
          <w:p w:rsidR="00D61442" w:rsidRPr="00A06362" w:rsidRDefault="00D61442" w:rsidP="00D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ndarë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sipas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viteve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D61442" w:rsidRPr="00F35B89" w:rsidRDefault="00D61442" w:rsidP="00D61442">
            <w:pPr>
              <w:shd w:val="clear" w:color="auto" w:fill="FFFFFF"/>
              <w:spacing w:beforeAutospacing="1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val="sq-AL" w:eastAsia="sq-AL"/>
              </w:rPr>
            </w:pPr>
          </w:p>
        </w:tc>
        <w:tc>
          <w:tcPr>
            <w:tcW w:w="1275" w:type="dxa"/>
          </w:tcPr>
          <w:p w:rsidR="00D61442" w:rsidRDefault="00D61442" w:rsidP="00D61442">
            <w:r>
              <w:t>08.12.2023</w:t>
            </w:r>
          </w:p>
        </w:tc>
        <w:tc>
          <w:tcPr>
            <w:tcW w:w="4536" w:type="dxa"/>
          </w:tcPr>
          <w:p w:rsidR="00D61442" w:rsidRPr="00A06362" w:rsidRDefault="00D61442" w:rsidP="00D61442">
            <w:pPr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Ne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përgjigje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kërkesës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Tuaj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. 5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regj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dt.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07.12.2023,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informojmë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poshtë</w:t>
            </w:r>
            <w:proofErr w:type="spellEnd"/>
            <w:r w:rsidRPr="00A06362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: </w:t>
            </w:r>
          </w:p>
          <w:p w:rsidR="00D61442" w:rsidRPr="00A06362" w:rsidRDefault="00D61442" w:rsidP="00D61442">
            <w:pPr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  <w:p w:rsidR="00D61442" w:rsidRPr="00A06362" w:rsidRDefault="00D61442" w:rsidP="00D61442">
            <w:pPr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vitet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2019-2023 Ne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Gjykatën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Shkallës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së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Parë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Juridiksionit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Përgjithshëm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Kukës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qe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tashme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përfshin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edhe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arkiv</w:t>
            </w:r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n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ish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Gjykatës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Rrethit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Gjyqësor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Tropoje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nuk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kemi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patur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asnjë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çështje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penale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kryerjen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veprës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penale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parashikuar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neni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202/a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Kodin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Penal “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Tregtimi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specieve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mbrojtura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florës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faunës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së</w:t>
            </w:r>
            <w:proofErr w:type="spellEnd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egër</w:t>
            </w:r>
            <w:proofErr w:type="spellEnd"/>
          </w:p>
          <w:p w:rsidR="00D61442" w:rsidRPr="00A06362" w:rsidRDefault="00D61442" w:rsidP="00D61442">
            <w:pPr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  <w:p w:rsidR="00D61442" w:rsidRPr="00A06362" w:rsidRDefault="00D61442" w:rsidP="00D61442">
            <w:pPr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Gjykatën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Shkallës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Juridiksionit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Përgjithshëm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Kukës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gjykuar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çështje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gjate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vitit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2023 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kryerjen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veprës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penale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parashikuar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neni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202</w:t>
            </w:r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 "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Dëmtimi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specieve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mbrojtura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florës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faunës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së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egër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",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cili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nuk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objekt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kërkesës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Tuaj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por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qe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mund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t'ju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shërbeje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ne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punën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Tuaj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D61442" w:rsidRPr="00A06362" w:rsidRDefault="00D61442" w:rsidP="00D61442">
            <w:pPr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Kjo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çështje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ka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përfunduar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vendim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dënimi</w:t>
            </w:r>
            <w:proofErr w:type="spellEnd"/>
            <w:r w:rsidRPr="00A06362">
              <w:rPr>
                <w:rFonts w:ascii="Times" w:eastAsia="Times New Roman" w:hAnsi="Times" w:cs="Segoe UI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D61442" w:rsidRPr="00F35B89" w:rsidRDefault="00D61442" w:rsidP="00D6144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sq-AL" w:eastAsia="sq-AL"/>
              </w:rPr>
            </w:pPr>
          </w:p>
        </w:tc>
        <w:tc>
          <w:tcPr>
            <w:tcW w:w="1531" w:type="dxa"/>
          </w:tcPr>
          <w:p w:rsidR="00D61442" w:rsidRDefault="00D61442" w:rsidP="00D61442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850" w:type="dxa"/>
          </w:tcPr>
          <w:p w:rsidR="00D61442" w:rsidRDefault="00D61442" w:rsidP="00D61442">
            <w:r>
              <w:t xml:space="preserve">0 </w:t>
            </w:r>
            <w:proofErr w:type="spellStart"/>
            <w:r>
              <w:t>Leke</w:t>
            </w:r>
            <w:proofErr w:type="spellEnd"/>
          </w:p>
        </w:tc>
      </w:tr>
    </w:tbl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B45E29" w:rsidSect="00525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CD" w:rsidRDefault="00AC33CD" w:rsidP="00C417B2">
      <w:pPr>
        <w:spacing w:after="0" w:line="240" w:lineRule="auto"/>
      </w:pPr>
      <w:r>
        <w:separator/>
      </w:r>
    </w:p>
  </w:endnote>
  <w:endnote w:type="continuationSeparator" w:id="0">
    <w:p w:rsidR="00AC33CD" w:rsidRDefault="00AC33CD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CD" w:rsidRDefault="00AC33CD" w:rsidP="00C417B2">
      <w:pPr>
        <w:spacing w:after="0" w:line="240" w:lineRule="auto"/>
      </w:pPr>
      <w:r>
        <w:separator/>
      </w:r>
    </w:p>
  </w:footnote>
  <w:footnote w:type="continuationSeparator" w:id="0">
    <w:p w:rsidR="00AC33CD" w:rsidRDefault="00AC33CD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FCD"/>
    <w:multiLevelType w:val="multilevel"/>
    <w:tmpl w:val="25E0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F1135"/>
    <w:multiLevelType w:val="multilevel"/>
    <w:tmpl w:val="A64AD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23DEE"/>
    <w:multiLevelType w:val="multilevel"/>
    <w:tmpl w:val="2E92D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96190"/>
    <w:multiLevelType w:val="multilevel"/>
    <w:tmpl w:val="207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548CD"/>
    <w:rsid w:val="000972CB"/>
    <w:rsid w:val="000E0539"/>
    <w:rsid w:val="00134F00"/>
    <w:rsid w:val="0016587F"/>
    <w:rsid w:val="001C17B2"/>
    <w:rsid w:val="001C17F3"/>
    <w:rsid w:val="001D3B66"/>
    <w:rsid w:val="001D7988"/>
    <w:rsid w:val="0021270B"/>
    <w:rsid w:val="00227DB2"/>
    <w:rsid w:val="00246DF7"/>
    <w:rsid w:val="00256DCC"/>
    <w:rsid w:val="002E5657"/>
    <w:rsid w:val="00302D5F"/>
    <w:rsid w:val="00356D35"/>
    <w:rsid w:val="003F78F7"/>
    <w:rsid w:val="0042349A"/>
    <w:rsid w:val="0043268E"/>
    <w:rsid w:val="004B3880"/>
    <w:rsid w:val="004F0B5B"/>
    <w:rsid w:val="0052517C"/>
    <w:rsid w:val="00581BEA"/>
    <w:rsid w:val="005B44B6"/>
    <w:rsid w:val="005E3F62"/>
    <w:rsid w:val="005E4EA0"/>
    <w:rsid w:val="00644275"/>
    <w:rsid w:val="00655357"/>
    <w:rsid w:val="006739FB"/>
    <w:rsid w:val="00714F62"/>
    <w:rsid w:val="007328B6"/>
    <w:rsid w:val="007E493B"/>
    <w:rsid w:val="00822F90"/>
    <w:rsid w:val="00830BF9"/>
    <w:rsid w:val="008560B1"/>
    <w:rsid w:val="008B42D1"/>
    <w:rsid w:val="008C79E8"/>
    <w:rsid w:val="008E2CFE"/>
    <w:rsid w:val="008F4474"/>
    <w:rsid w:val="00953906"/>
    <w:rsid w:val="0099345C"/>
    <w:rsid w:val="009A0503"/>
    <w:rsid w:val="009A132D"/>
    <w:rsid w:val="009A6313"/>
    <w:rsid w:val="009C555D"/>
    <w:rsid w:val="009F48B2"/>
    <w:rsid w:val="00A06362"/>
    <w:rsid w:val="00A36EBE"/>
    <w:rsid w:val="00A9377A"/>
    <w:rsid w:val="00A964E0"/>
    <w:rsid w:val="00AA5385"/>
    <w:rsid w:val="00AB48BD"/>
    <w:rsid w:val="00AC33CD"/>
    <w:rsid w:val="00B154B0"/>
    <w:rsid w:val="00B30C05"/>
    <w:rsid w:val="00B45E29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F1D79"/>
    <w:rsid w:val="00D41F11"/>
    <w:rsid w:val="00D61442"/>
    <w:rsid w:val="00DE26E2"/>
    <w:rsid w:val="00DF38D5"/>
    <w:rsid w:val="00E047E9"/>
    <w:rsid w:val="00E20D69"/>
    <w:rsid w:val="00E36927"/>
    <w:rsid w:val="00F20D0A"/>
    <w:rsid w:val="00F276FA"/>
    <w:rsid w:val="00F35B89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186F2-949A-4EFC-B872-F3E5215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character" w:customStyle="1" w:styleId="xcontentpasted0">
    <w:name w:val="x_contentpasted0"/>
    <w:basedOn w:val="DefaultParagraphFont"/>
    <w:rsid w:val="009A0503"/>
  </w:style>
  <w:style w:type="paragraph" w:customStyle="1" w:styleId="xmsonormal">
    <w:name w:val="x_msonormal"/>
    <w:basedOn w:val="Normal"/>
    <w:rsid w:val="009A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xmsolistparagraph">
    <w:name w:val="x_msolistparagraph"/>
    <w:basedOn w:val="Normal"/>
    <w:rsid w:val="009A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E783-A398-4101-96E7-ED5ADBC0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Gazmir Onuzi</cp:lastModifiedBy>
  <cp:revision>2</cp:revision>
  <dcterms:created xsi:type="dcterms:W3CDTF">2023-12-13T12:59:00Z</dcterms:created>
  <dcterms:modified xsi:type="dcterms:W3CDTF">2023-12-13T12:59:00Z</dcterms:modified>
</cp:coreProperties>
</file>