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087"/>
        <w:tblW w:w="0" w:type="auto"/>
        <w:tblLook w:val="04A0"/>
      </w:tblPr>
      <w:tblGrid>
        <w:gridCol w:w="623"/>
        <w:gridCol w:w="2203"/>
        <w:gridCol w:w="2520"/>
        <w:gridCol w:w="1980"/>
      </w:tblGrid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EMËR/MBIEMËR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FUNKSIONI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KATEGORIA E PAGËS</w:t>
            </w:r>
          </w:p>
        </w:tc>
      </w:tr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DESART AVDULAJ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KRYETAR I GJYKATËS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  <w:r w:rsidR="007E2393"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IZET DUSHAJ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ZËV/KRYETAR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  <w:r w:rsidR="007E2393"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VALBON ÇEKREZI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GJYQTAR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  <w:r w:rsidR="007E2393"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</w:tr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ANITA MICI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GJYQTARE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  <w:r w:rsidR="007E2393"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CF75FB" w:rsidRPr="007E2393" w:rsidTr="00883224">
        <w:tc>
          <w:tcPr>
            <w:tcW w:w="62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MARSIDA JANI</w:t>
            </w:r>
          </w:p>
        </w:tc>
        <w:tc>
          <w:tcPr>
            <w:tcW w:w="252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KANCELARE</w:t>
            </w:r>
          </w:p>
        </w:tc>
        <w:tc>
          <w:tcPr>
            <w:tcW w:w="1980" w:type="dxa"/>
          </w:tcPr>
          <w:p w:rsidR="00CF75FB" w:rsidRPr="007E2393" w:rsidRDefault="00CF75FB" w:rsidP="007E23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393">
              <w:rPr>
                <w:rFonts w:ascii="Times New Roman" w:hAnsi="Times New Roman" w:cs="Times New Roman"/>
                <w:sz w:val="24"/>
                <w:szCs w:val="24"/>
              </w:rPr>
              <w:t>II-A</w:t>
            </w:r>
            <w:r w:rsidR="007E2393">
              <w:rPr>
                <w:rStyle w:val="EndnoteReference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</w:tr>
    </w:tbl>
    <w:p w:rsidR="00CF75FB" w:rsidRPr="007E2393" w:rsidRDefault="00A741D6" w:rsidP="007E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93">
        <w:rPr>
          <w:rFonts w:ascii="Times New Roman" w:hAnsi="Times New Roman" w:cs="Times New Roman"/>
          <w:b/>
          <w:sz w:val="24"/>
          <w:szCs w:val="24"/>
        </w:rPr>
        <w:t>TABEL</w:t>
      </w:r>
      <w:r w:rsidR="00AA7582">
        <w:rPr>
          <w:rFonts w:ascii="Times New Roman" w:hAnsi="Times New Roman" w:cs="Times New Roman"/>
          <w:b/>
          <w:sz w:val="24"/>
          <w:szCs w:val="24"/>
        </w:rPr>
        <w:t>A</w:t>
      </w:r>
      <w:r w:rsidRPr="007E2393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CF75FB" w:rsidRPr="007E2393">
        <w:rPr>
          <w:rFonts w:ascii="Times New Roman" w:hAnsi="Times New Roman" w:cs="Times New Roman"/>
          <w:b/>
          <w:sz w:val="24"/>
          <w:szCs w:val="24"/>
        </w:rPr>
        <w:t xml:space="preserve">PAGAVE, </w:t>
      </w:r>
      <w:r w:rsidRPr="007E2393">
        <w:rPr>
          <w:rFonts w:ascii="Times New Roman" w:hAnsi="Times New Roman" w:cs="Times New Roman"/>
          <w:b/>
          <w:sz w:val="24"/>
          <w:szCs w:val="24"/>
        </w:rPr>
        <w:t>FUNKSIONEVE</w:t>
      </w:r>
      <w:r w:rsidR="00CF75FB" w:rsidRPr="007E2393">
        <w:rPr>
          <w:rFonts w:ascii="Times New Roman" w:hAnsi="Times New Roman" w:cs="Times New Roman"/>
          <w:b/>
          <w:sz w:val="24"/>
          <w:szCs w:val="24"/>
        </w:rPr>
        <w:t>, DETYRAVE/KOMPETENCAVE</w:t>
      </w:r>
      <w:r w:rsidRPr="007E239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 xml:space="preserve"> PUNONJ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SIT T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 xml:space="preserve"> GJYKAT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 S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 xml:space="preserve"> APELIT DURR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</w:t>
      </w:r>
    </w:p>
    <w:p w:rsidR="00823B0D" w:rsidRPr="007E2393" w:rsidRDefault="00A741D6" w:rsidP="007E2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93">
        <w:rPr>
          <w:rFonts w:ascii="Times New Roman" w:hAnsi="Times New Roman" w:cs="Times New Roman"/>
          <w:b/>
          <w:sz w:val="24"/>
          <w:szCs w:val="24"/>
        </w:rPr>
        <w:t>(SUBJEKT DEKLARIMI SIPAS LIGJIT)</w:t>
      </w: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0E8" w:rsidRPr="007E2393" w:rsidRDefault="003850E8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FB" w:rsidRPr="007E2393" w:rsidRDefault="00CF75FB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FB" w:rsidRPr="007E2393" w:rsidRDefault="00CF75FB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FB" w:rsidRPr="007E2393" w:rsidRDefault="00CF75FB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93" w:rsidRDefault="007E2393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93" w:rsidRDefault="007E2393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FB" w:rsidRPr="007E2393" w:rsidRDefault="00CF75FB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393">
        <w:rPr>
          <w:rFonts w:ascii="Times New Roman" w:hAnsi="Times New Roman" w:cs="Times New Roman"/>
          <w:b/>
          <w:sz w:val="24"/>
          <w:szCs w:val="24"/>
        </w:rPr>
        <w:t>DETYRAT DHE KOMPETENCAT</w:t>
      </w:r>
    </w:p>
    <w:p w:rsidR="00CF75FB" w:rsidRPr="007E2393" w:rsidRDefault="00CF75FB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A0" w:rsidRPr="007E2393" w:rsidRDefault="001869A0" w:rsidP="00ED1D5B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93">
        <w:rPr>
          <w:rFonts w:ascii="Times New Roman" w:hAnsi="Times New Roman" w:cs="Times New Roman"/>
          <w:b/>
          <w:sz w:val="24"/>
          <w:szCs w:val="24"/>
        </w:rPr>
        <w:t>K</w:t>
      </w:r>
      <w:r w:rsidR="007E2393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SHILLI I GJYKAT</w:t>
      </w:r>
      <w:r w:rsidR="007E2393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S.</w:t>
      </w:r>
    </w:p>
    <w:p w:rsidR="001869A0" w:rsidRPr="007E2393" w:rsidRDefault="001869A0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393" w:rsidRPr="007E2393" w:rsidRDefault="001869A0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D1D5B">
        <w:rPr>
          <w:rFonts w:ascii="Times New Roman" w:hAnsi="Times New Roman" w:cs="Times New Roman"/>
        </w:rPr>
        <w:t>Sipas ligjit nr.</w:t>
      </w:r>
      <w:r w:rsidR="007E2393" w:rsidRPr="00ED1D5B">
        <w:rPr>
          <w:rFonts w:ascii="Times New Roman" w:hAnsi="Times New Roman" w:cs="Times New Roman"/>
        </w:rPr>
        <w:t>98/2016 “Për organizimin e pushtetit gjyqësor në Republikën e Shqipërisë” Këshilli i Gjykatës së Apelit</w:t>
      </w:r>
      <w:r w:rsidR="007E2393" w:rsidRPr="007E2393">
        <w:rPr>
          <w:rFonts w:ascii="Times New Roman" w:hAnsi="Times New Roman" w:cs="Times New Roman"/>
        </w:rPr>
        <w:t xml:space="preserve"> Durrës përbëhet nga tre anëtarët</w:t>
      </w:r>
      <w:r w:rsidR="00ED1D5B">
        <w:rPr>
          <w:rFonts w:ascii="Times New Roman" w:hAnsi="Times New Roman" w:cs="Times New Roman"/>
        </w:rPr>
        <w:t>:</w:t>
      </w:r>
      <w:r w:rsidR="007E2393" w:rsidRPr="007E2393">
        <w:rPr>
          <w:rFonts w:ascii="Times New Roman" w:hAnsi="Times New Roman" w:cs="Times New Roman"/>
        </w:rPr>
        <w:t xml:space="preserve"> </w:t>
      </w:r>
    </w:p>
    <w:p w:rsidR="00ED1D5B" w:rsidRDefault="00ED1D5B" w:rsidP="007E2393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E2393" w:rsidRPr="007E2393">
        <w:rPr>
          <w:rFonts w:ascii="Times New Roman" w:hAnsi="Times New Roman" w:cs="Times New Roman"/>
        </w:rPr>
        <w:t xml:space="preserve">ryetari i gjykatës, i cili vepron si kryetar i Këshillit të Gjykatës; </w:t>
      </w:r>
    </w:p>
    <w:p w:rsidR="00ED1D5B" w:rsidRDefault="00ED1D5B" w:rsidP="007E2393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E2393" w:rsidRPr="00ED1D5B">
        <w:rPr>
          <w:rFonts w:ascii="Times New Roman" w:hAnsi="Times New Roman" w:cs="Times New Roman"/>
        </w:rPr>
        <w:t xml:space="preserve">ëvendëskryetari i gjykatës; </w:t>
      </w:r>
    </w:p>
    <w:p w:rsidR="001869A0" w:rsidRPr="00ED1D5B" w:rsidRDefault="00ED1D5B" w:rsidP="007E2393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E2393" w:rsidRPr="00ED1D5B">
        <w:rPr>
          <w:rFonts w:ascii="Times New Roman" w:hAnsi="Times New Roman" w:cs="Times New Roman"/>
        </w:rPr>
        <w:t>ancelari i gjykatës.</w:t>
      </w:r>
    </w:p>
    <w:p w:rsidR="007E2393" w:rsidRDefault="007E2393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393">
        <w:rPr>
          <w:rFonts w:ascii="Times New Roman" w:hAnsi="Times New Roman" w:cs="Times New Roman"/>
          <w:sz w:val="24"/>
          <w:szCs w:val="24"/>
        </w:rPr>
        <w:t>Rregulla më të detajuara mbi mënyrën e funksionimit të Këshillit të Gjykatës përcaktohen në vendimin nr.71, datë 20.05.2019 të Këshillit të Lartë Gjyqësor “Për procedurën e funksionimit të mbledhjes së Këshillit të Gjykatës”.</w:t>
      </w:r>
      <w:proofErr w:type="gramEnd"/>
    </w:p>
    <w:p w:rsidR="00ED1D5B" w:rsidRPr="007E2393" w:rsidRDefault="00ED1D5B" w:rsidP="007E2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Këshilli i Gjykatës ka kompetencat e mëposhtme: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a) </w:t>
      </w:r>
      <w:proofErr w:type="gramStart"/>
      <w:r w:rsidRPr="007E2393">
        <w:rPr>
          <w:rFonts w:ascii="Times New Roman" w:hAnsi="Times New Roman" w:cs="Times New Roman"/>
        </w:rPr>
        <w:t>miraton</w:t>
      </w:r>
      <w:proofErr w:type="gramEnd"/>
      <w:r w:rsidRPr="007E2393">
        <w:rPr>
          <w:rFonts w:ascii="Times New Roman" w:hAnsi="Times New Roman" w:cs="Times New Roman"/>
        </w:rPr>
        <w:t xml:space="preserve"> përshkrimet e punës për të gjitha kategoritë e nëpunësve të shërbimit civil gjyqësor dhe punonjësve të gjykatës, sipas modelit të miratuar nga Këshilli i Lartë Gjyqësor, dhe në raste të veçanta i përshtat me nevojat e gjykatës dhe kriteret e vendit të punës;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b) </w:t>
      </w:r>
      <w:proofErr w:type="gramStart"/>
      <w:r w:rsidRPr="007E2393">
        <w:rPr>
          <w:rFonts w:ascii="Times New Roman" w:hAnsi="Times New Roman" w:cs="Times New Roman"/>
        </w:rPr>
        <w:t>merr</w:t>
      </w:r>
      <w:proofErr w:type="gramEnd"/>
      <w:r w:rsidRPr="007E2393">
        <w:rPr>
          <w:rFonts w:ascii="Times New Roman" w:hAnsi="Times New Roman" w:cs="Times New Roman"/>
        </w:rPr>
        <w:t xml:space="preserve"> vendime në lidhje me statusin e nëpunësve civilë gjyqësorë, siç përcaktohet në këtë ligj;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c) </w:t>
      </w:r>
      <w:proofErr w:type="gramStart"/>
      <w:r w:rsidRPr="007E2393">
        <w:rPr>
          <w:rFonts w:ascii="Times New Roman" w:hAnsi="Times New Roman" w:cs="Times New Roman"/>
        </w:rPr>
        <w:t>miraton</w:t>
      </w:r>
      <w:proofErr w:type="gramEnd"/>
      <w:r w:rsidRPr="007E2393">
        <w:rPr>
          <w:rFonts w:ascii="Times New Roman" w:hAnsi="Times New Roman" w:cs="Times New Roman"/>
        </w:rPr>
        <w:t xml:space="preserve"> strukturën dhe organikën e administratës së gjykatës, sipas modelit të miratuar nga Këshilli i Lartë Gjyqësor, dhe në raste të veçanta i përshtat me nevojat e gjykatës dhe aftësitë e personave në detyrë;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lastRenderedPageBreak/>
        <w:t xml:space="preserve">ç) </w:t>
      </w:r>
      <w:proofErr w:type="gramStart"/>
      <w:r w:rsidRPr="007E2393">
        <w:rPr>
          <w:rFonts w:ascii="Times New Roman" w:hAnsi="Times New Roman" w:cs="Times New Roman"/>
        </w:rPr>
        <w:t>miraton</w:t>
      </w:r>
      <w:proofErr w:type="gramEnd"/>
      <w:r w:rsidRPr="007E2393">
        <w:rPr>
          <w:rFonts w:ascii="Times New Roman" w:hAnsi="Times New Roman" w:cs="Times New Roman"/>
        </w:rPr>
        <w:t xml:space="preserve"> strukturën e gjykatës dhe cakton gjyqtarët në seksione dhe trupa gjykues pasi merr mendimin e mbledhjes së përgjithshme të gjyqtarëve, duke ndjekur rregullat e përgjithshme të miratuara nga Këshilli i Lartë Gjyqësor;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d) </w:t>
      </w:r>
      <w:proofErr w:type="gramStart"/>
      <w:r w:rsidRPr="007E2393">
        <w:rPr>
          <w:rFonts w:ascii="Times New Roman" w:hAnsi="Times New Roman" w:cs="Times New Roman"/>
        </w:rPr>
        <w:t>shqyrton</w:t>
      </w:r>
      <w:proofErr w:type="gramEnd"/>
      <w:r w:rsidRPr="007E2393">
        <w:rPr>
          <w:rFonts w:ascii="Times New Roman" w:hAnsi="Times New Roman" w:cs="Times New Roman"/>
        </w:rPr>
        <w:t xml:space="preserve"> ankesa në lidhje me çështje të infrastrukturës së gjykatës, shërbimet ndihmëse në gjykatë dhe çështje të tjera që nuk lidhen me ushtrimin e detyrave të administratës gjyqësore dhe i raporton Këshillit të Lartë Gjyqësor mbi ankesat dhe masat e marra në përputhje me rregullat e miratuara nga Këshilli i Lartë Gjyqësor;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dh</w:t>
      </w:r>
      <w:proofErr w:type="gramEnd"/>
      <w:r w:rsidRPr="007E2393">
        <w:rPr>
          <w:rFonts w:ascii="Times New Roman" w:hAnsi="Times New Roman" w:cs="Times New Roman"/>
        </w:rPr>
        <w:t xml:space="preserve">) vlerëson dhe shqyrton projektbuxhetin e përgatitur nga nëpunësi i financës përpara paraqitjes në Këshillin e Lartë Gjyqësor;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e) </w:t>
      </w:r>
      <w:proofErr w:type="gramStart"/>
      <w:r w:rsidRPr="007E2393">
        <w:rPr>
          <w:rFonts w:ascii="Times New Roman" w:hAnsi="Times New Roman" w:cs="Times New Roman"/>
        </w:rPr>
        <w:t>jep</w:t>
      </w:r>
      <w:proofErr w:type="gramEnd"/>
      <w:r w:rsidRPr="007E2393">
        <w:rPr>
          <w:rFonts w:ascii="Times New Roman" w:hAnsi="Times New Roman" w:cs="Times New Roman"/>
        </w:rPr>
        <w:t xml:space="preserve"> informacion, mendime ose raporte të kërkuara nga institucione shtetërore sipas ligjit;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ë) </w:t>
      </w:r>
      <w:proofErr w:type="gramStart"/>
      <w:r w:rsidRPr="007E2393">
        <w:rPr>
          <w:rFonts w:ascii="Times New Roman" w:hAnsi="Times New Roman" w:cs="Times New Roman"/>
        </w:rPr>
        <w:t>bashkëpunon</w:t>
      </w:r>
      <w:proofErr w:type="gramEnd"/>
      <w:r w:rsidRPr="007E2393">
        <w:rPr>
          <w:rFonts w:ascii="Times New Roman" w:hAnsi="Times New Roman" w:cs="Times New Roman"/>
        </w:rPr>
        <w:t xml:space="preserve"> me Shkollën e Magjistraturës dhe Këshillin e Lartë Gjyqësor për çështje që lidhen me formimin fillestar dhe vazhdues të gjyqtarëve dhe nëpunësve civilë gjyqësorë;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f) </w:t>
      </w:r>
      <w:proofErr w:type="gramStart"/>
      <w:r w:rsidRPr="007E2393">
        <w:rPr>
          <w:rFonts w:ascii="Times New Roman" w:hAnsi="Times New Roman" w:cs="Times New Roman"/>
        </w:rPr>
        <w:t>organizon</w:t>
      </w:r>
      <w:proofErr w:type="gramEnd"/>
      <w:r w:rsidRPr="007E2393">
        <w:rPr>
          <w:rFonts w:ascii="Times New Roman" w:hAnsi="Times New Roman" w:cs="Times New Roman"/>
        </w:rPr>
        <w:t xml:space="preserve"> rregullisht takime me përdoruesit e gjykatës për rritjen e efikasitetit dhe cilësisë së drejtësisë; </w:t>
      </w:r>
    </w:p>
    <w:p w:rsidR="007E2393" w:rsidRPr="007E2393" w:rsidRDefault="007E239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g) </w:t>
      </w:r>
      <w:proofErr w:type="gramStart"/>
      <w:r w:rsidRPr="007E2393">
        <w:rPr>
          <w:rFonts w:ascii="Times New Roman" w:hAnsi="Times New Roman" w:cs="Times New Roman"/>
        </w:rPr>
        <w:t>miraton</w:t>
      </w:r>
      <w:proofErr w:type="gramEnd"/>
      <w:r w:rsidRPr="007E2393">
        <w:rPr>
          <w:rFonts w:ascii="Times New Roman" w:hAnsi="Times New Roman" w:cs="Times New Roman"/>
        </w:rPr>
        <w:t xml:space="preserve"> rregulla të veçanta të gjykatës për çështje të ruajtjes dhe sigurisë në gjykatë; </w:t>
      </w:r>
    </w:p>
    <w:p w:rsidR="007E2393" w:rsidRPr="007E2393" w:rsidRDefault="007E2393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393">
        <w:rPr>
          <w:rFonts w:ascii="Times New Roman" w:hAnsi="Times New Roman" w:cs="Times New Roman"/>
          <w:sz w:val="24"/>
          <w:szCs w:val="24"/>
        </w:rPr>
        <w:t>gj</w:t>
      </w:r>
      <w:proofErr w:type="gramEnd"/>
      <w:r w:rsidRPr="007E2393">
        <w:rPr>
          <w:rFonts w:ascii="Times New Roman" w:hAnsi="Times New Roman" w:cs="Times New Roman"/>
          <w:sz w:val="24"/>
          <w:szCs w:val="24"/>
        </w:rPr>
        <w:t>) ushtron detyra të tjera të caktuara me ligj.</w:t>
      </w:r>
    </w:p>
    <w:p w:rsidR="001869A0" w:rsidRPr="007E2393" w:rsidRDefault="001869A0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A0" w:rsidRPr="007E2393" w:rsidRDefault="001869A0" w:rsidP="007E2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E8" w:rsidRDefault="003850E8" w:rsidP="00ED1D5B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93">
        <w:rPr>
          <w:rFonts w:ascii="Times New Roman" w:hAnsi="Times New Roman" w:cs="Times New Roman"/>
          <w:b/>
          <w:sz w:val="24"/>
          <w:szCs w:val="24"/>
        </w:rPr>
        <w:t>KRYETARI I GJYKAT</w:t>
      </w:r>
      <w:r w:rsidR="00EA76DC" w:rsidRPr="007E2393">
        <w:rPr>
          <w:rFonts w:ascii="Times New Roman" w:hAnsi="Times New Roman" w:cs="Times New Roman"/>
          <w:b/>
          <w:sz w:val="24"/>
          <w:szCs w:val="24"/>
        </w:rPr>
        <w:t>Ë</w:t>
      </w:r>
      <w:r w:rsidRPr="007E2393">
        <w:rPr>
          <w:rFonts w:ascii="Times New Roman" w:hAnsi="Times New Roman" w:cs="Times New Roman"/>
          <w:b/>
          <w:sz w:val="24"/>
          <w:szCs w:val="24"/>
        </w:rPr>
        <w:t>S</w:t>
      </w:r>
    </w:p>
    <w:p w:rsidR="00ED1D5B" w:rsidRPr="007E2393" w:rsidRDefault="00ED1D5B" w:rsidP="00ED1D5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9A0" w:rsidRPr="007E2393" w:rsidRDefault="001869A0" w:rsidP="00ED1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393">
        <w:rPr>
          <w:rFonts w:ascii="Times New Roman" w:hAnsi="Times New Roman" w:cs="Times New Roman"/>
          <w:sz w:val="24"/>
          <w:szCs w:val="24"/>
        </w:rPr>
        <w:t xml:space="preserve">Kryetari i </w:t>
      </w:r>
      <w:r w:rsidR="00ED1D5B">
        <w:rPr>
          <w:rFonts w:ascii="Times New Roman" w:hAnsi="Times New Roman" w:cs="Times New Roman"/>
          <w:sz w:val="24"/>
          <w:szCs w:val="24"/>
        </w:rPr>
        <w:t>gjykatës</w:t>
      </w:r>
      <w:r w:rsidRPr="007E2393">
        <w:rPr>
          <w:rFonts w:ascii="Times New Roman" w:hAnsi="Times New Roman" w:cs="Times New Roman"/>
          <w:sz w:val="24"/>
          <w:szCs w:val="24"/>
        </w:rPr>
        <w:t xml:space="preserve"> zgjidhet sipas kritereve dhe procedurave të përcaktuara në ligjin “Për statusin e gjyqtarëve dhe prokurorëve në Republikën e Shqipërisë” dhe ka kompetencat e përcaktuara sipas këtij ligji.</w:t>
      </w:r>
      <w:proofErr w:type="gramEnd"/>
    </w:p>
    <w:p w:rsidR="003D4BCF" w:rsidRDefault="003D4BCF" w:rsidP="00ED1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393">
        <w:rPr>
          <w:rFonts w:ascii="Times New Roman" w:hAnsi="Times New Roman" w:cs="Times New Roman"/>
          <w:sz w:val="24"/>
          <w:szCs w:val="24"/>
        </w:rPr>
        <w:t>Sipas ligjit nr.96/2016 “P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r statusin e gjyqtar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ve dhe Prokuror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ve n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 xml:space="preserve"> Republik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n e Shqip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ris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” nenit 52/1 i k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tij ligji parashikon se “Mandati i Kryetarit të gjykatave dhe prokurorive të tjera, me përjashtim të Prokurorit të Përgjithshëm, është tre vjet, me të drejtë rizgjedhjeje vetëm një here….</w:t>
      </w:r>
      <w:proofErr w:type="gramStart"/>
      <w:r w:rsidRPr="007E2393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E2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393">
        <w:rPr>
          <w:rFonts w:ascii="Times New Roman" w:hAnsi="Times New Roman" w:cs="Times New Roman"/>
          <w:sz w:val="24"/>
          <w:szCs w:val="24"/>
        </w:rPr>
        <w:t xml:space="preserve">Kryetari </w:t>
      </w:r>
      <w:r w:rsidR="00ED1D5B">
        <w:rPr>
          <w:rFonts w:ascii="Times New Roman" w:hAnsi="Times New Roman" w:cs="Times New Roman"/>
          <w:sz w:val="24"/>
          <w:szCs w:val="24"/>
        </w:rPr>
        <w:t>i</w:t>
      </w:r>
      <w:r w:rsidRPr="007E2393">
        <w:rPr>
          <w:rFonts w:ascii="Times New Roman" w:hAnsi="Times New Roman" w:cs="Times New Roman"/>
          <w:sz w:val="24"/>
          <w:szCs w:val="24"/>
        </w:rPr>
        <w:t xml:space="preserve"> Gjykat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s s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 xml:space="preserve"> Apelit Durr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s em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rohet nga K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shilli i Lart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 xml:space="preserve"> Gjyq</w:t>
      </w:r>
      <w:r w:rsidR="007E2393" w:rsidRPr="007E2393">
        <w:rPr>
          <w:rFonts w:ascii="Times New Roman" w:hAnsi="Times New Roman" w:cs="Times New Roman"/>
          <w:sz w:val="24"/>
          <w:szCs w:val="24"/>
        </w:rPr>
        <w:t>ë</w:t>
      </w:r>
      <w:r w:rsidRPr="007E2393">
        <w:rPr>
          <w:rFonts w:ascii="Times New Roman" w:hAnsi="Times New Roman" w:cs="Times New Roman"/>
          <w:sz w:val="24"/>
          <w:szCs w:val="24"/>
        </w:rPr>
        <w:t>sor.</w:t>
      </w:r>
      <w:proofErr w:type="gramEnd"/>
    </w:p>
    <w:p w:rsidR="00ED1D5B" w:rsidRPr="007E2393" w:rsidRDefault="00ED1D5B" w:rsidP="00ED1D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>Kryetari i g</w:t>
      </w:r>
      <w:r w:rsidR="007E2393" w:rsidRPr="007E2393">
        <w:rPr>
          <w:rFonts w:ascii="Times New Roman" w:hAnsi="Times New Roman" w:cs="Times New Roman"/>
        </w:rPr>
        <w:t>jykatës ka përgjegjësi për mena</w:t>
      </w:r>
      <w:r w:rsidRPr="007E2393">
        <w:rPr>
          <w:rFonts w:ascii="Times New Roman" w:hAnsi="Times New Roman" w:cs="Times New Roman"/>
        </w:rPr>
        <w:t xml:space="preserve">xhimin e përgjithshëm gjyqësor dhe ushtron këto detyra: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a) </w:t>
      </w:r>
      <w:proofErr w:type="gramStart"/>
      <w:r w:rsidRPr="007E2393">
        <w:rPr>
          <w:rFonts w:ascii="Times New Roman" w:hAnsi="Times New Roman" w:cs="Times New Roman"/>
        </w:rPr>
        <w:t>përfaqëson</w:t>
      </w:r>
      <w:proofErr w:type="gramEnd"/>
      <w:r w:rsidRPr="007E2393">
        <w:rPr>
          <w:rFonts w:ascii="Times New Roman" w:hAnsi="Times New Roman" w:cs="Times New Roman"/>
        </w:rPr>
        <w:t xml:space="preserve"> gjykatën në marrëdhënie me të tretët;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b) </w:t>
      </w:r>
      <w:proofErr w:type="gramStart"/>
      <w:r w:rsidRPr="007E2393">
        <w:rPr>
          <w:rFonts w:ascii="Times New Roman" w:hAnsi="Times New Roman" w:cs="Times New Roman"/>
        </w:rPr>
        <w:t>në</w:t>
      </w:r>
      <w:proofErr w:type="gramEnd"/>
      <w:r w:rsidRPr="007E2393">
        <w:rPr>
          <w:rFonts w:ascii="Times New Roman" w:hAnsi="Times New Roman" w:cs="Times New Roman"/>
        </w:rPr>
        <w:t xml:space="preserve"> fillim të çdo viti miraton një listë, e cila përditësohet kur është e nevojshme, që përcakton gjyqtarët për gjykimet e rasteve urgjente, siç përcaktohet me ligj, sipas rendit alfabetik me bazë mbiemrin, në përputhje me rregullat e miratuara nga Këshilli i Lartë Gjyqësor;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c) </w:t>
      </w:r>
      <w:proofErr w:type="gramStart"/>
      <w:r w:rsidRPr="007E2393">
        <w:rPr>
          <w:rFonts w:ascii="Times New Roman" w:hAnsi="Times New Roman" w:cs="Times New Roman"/>
        </w:rPr>
        <w:t>mban</w:t>
      </w:r>
      <w:proofErr w:type="gramEnd"/>
      <w:r w:rsidRPr="007E2393">
        <w:rPr>
          <w:rFonts w:ascii="Times New Roman" w:hAnsi="Times New Roman" w:cs="Times New Roman"/>
        </w:rPr>
        <w:t xml:space="preserve"> kontakt me grupet e kontrollit të institucioneve të tjera shtetërore, njihet me qëllimin dhe objektin e kontrollit dhe u krijon atyre mundësi për ushtrimin e detyrës;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ç) </w:t>
      </w:r>
      <w:proofErr w:type="gramStart"/>
      <w:r w:rsidRPr="007E2393">
        <w:rPr>
          <w:rFonts w:ascii="Times New Roman" w:hAnsi="Times New Roman" w:cs="Times New Roman"/>
        </w:rPr>
        <w:t>mbikëqyr</w:t>
      </w:r>
      <w:proofErr w:type="gramEnd"/>
      <w:r w:rsidRPr="007E2393">
        <w:rPr>
          <w:rFonts w:ascii="Times New Roman" w:hAnsi="Times New Roman" w:cs="Times New Roman"/>
        </w:rPr>
        <w:t xml:space="preserve"> respektimin e etikës gjyqësore dhe të solemnitetit, si dhe bashkëpunon me Këshillin e Lartë Gjyqësor në lidhje me vlerësimin etik dhe profesional të gjyqtarëve;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d) </w:t>
      </w:r>
      <w:proofErr w:type="gramStart"/>
      <w:r w:rsidRPr="007E2393">
        <w:rPr>
          <w:rFonts w:ascii="Times New Roman" w:hAnsi="Times New Roman" w:cs="Times New Roman"/>
        </w:rPr>
        <w:t>mbikëqyr</w:t>
      </w:r>
      <w:proofErr w:type="gramEnd"/>
      <w:r w:rsidRPr="007E2393">
        <w:rPr>
          <w:rFonts w:ascii="Times New Roman" w:hAnsi="Times New Roman" w:cs="Times New Roman"/>
        </w:rPr>
        <w:t xml:space="preserve"> disiplinën në punë të gjyqtarëve dhe kërkon fillimin e hetimit kur dyshohet shkelje disiplinore e gjyqtarëve në gjykatat e tyre;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lastRenderedPageBreak/>
        <w:t>dh</w:t>
      </w:r>
      <w:proofErr w:type="gramEnd"/>
      <w:r w:rsidRPr="007E2393">
        <w:rPr>
          <w:rFonts w:ascii="Times New Roman" w:hAnsi="Times New Roman" w:cs="Times New Roman"/>
        </w:rPr>
        <w:t xml:space="preserve">) kujdeset për organizimin dhe funksionimin e administrimit gjyqësor në gjykatë në lidhje me veprimtaritë jogjyqësore nëpërmjet kancelarit, përveç rasteve kur parashikohet ndryshe në këtë ligj;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e) </w:t>
      </w:r>
      <w:proofErr w:type="gramStart"/>
      <w:r w:rsidRPr="007E2393">
        <w:rPr>
          <w:rFonts w:ascii="Times New Roman" w:hAnsi="Times New Roman" w:cs="Times New Roman"/>
        </w:rPr>
        <w:t>thërret</w:t>
      </w:r>
      <w:proofErr w:type="gramEnd"/>
      <w:r w:rsidRPr="007E2393">
        <w:rPr>
          <w:rFonts w:ascii="Times New Roman" w:hAnsi="Times New Roman" w:cs="Times New Roman"/>
        </w:rPr>
        <w:t xml:space="preserve">, përgatit dhe drejton mbledhjet e përgjithshme të gjyqtarëve dhe të Këshillit të Gjykatës, përveçse kur parashikohet ndryshe në këtë ligj;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ë) </w:t>
      </w:r>
      <w:proofErr w:type="gramStart"/>
      <w:r w:rsidRPr="007E2393">
        <w:rPr>
          <w:rFonts w:ascii="Times New Roman" w:hAnsi="Times New Roman" w:cs="Times New Roman"/>
        </w:rPr>
        <w:t>udhëzon</w:t>
      </w:r>
      <w:proofErr w:type="gramEnd"/>
      <w:r w:rsidRPr="007E2393">
        <w:rPr>
          <w:rFonts w:ascii="Times New Roman" w:hAnsi="Times New Roman" w:cs="Times New Roman"/>
        </w:rPr>
        <w:t xml:space="preserve"> dhe mbikëqyr kancelarin;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f) </w:t>
      </w:r>
      <w:proofErr w:type="gramStart"/>
      <w:r w:rsidRPr="007E2393">
        <w:rPr>
          <w:rFonts w:ascii="Times New Roman" w:hAnsi="Times New Roman" w:cs="Times New Roman"/>
        </w:rPr>
        <w:t>verifikon</w:t>
      </w:r>
      <w:proofErr w:type="gramEnd"/>
      <w:r w:rsidRPr="007E2393">
        <w:rPr>
          <w:rFonts w:ascii="Times New Roman" w:hAnsi="Times New Roman" w:cs="Times New Roman"/>
        </w:rPr>
        <w:t xml:space="preserve"> ankesat, heton shkeljet disiplinore dhe propozon fillimin e procedimit disiplinor ndaj kancelarit;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g) </w:t>
      </w:r>
      <w:proofErr w:type="gramStart"/>
      <w:r w:rsidRPr="007E2393">
        <w:rPr>
          <w:rFonts w:ascii="Times New Roman" w:hAnsi="Times New Roman" w:cs="Times New Roman"/>
        </w:rPr>
        <w:t>kryen</w:t>
      </w:r>
      <w:proofErr w:type="gramEnd"/>
      <w:r w:rsidRPr="007E2393">
        <w:rPr>
          <w:rFonts w:ascii="Times New Roman" w:hAnsi="Times New Roman" w:cs="Times New Roman"/>
        </w:rPr>
        <w:t xml:space="preserve"> veprimet dhe merr vendime që lidhen me statusin e nëpunësve civilë gjyqësorë, siç parashikohet në këtë ligj;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gj</w:t>
      </w:r>
      <w:proofErr w:type="gramEnd"/>
      <w:r w:rsidRPr="007E2393">
        <w:rPr>
          <w:rFonts w:ascii="Times New Roman" w:hAnsi="Times New Roman" w:cs="Times New Roman"/>
        </w:rPr>
        <w:t xml:space="preserve">) garanton zbatimin e vendimeve të Këshillit të Lartë Gjyqësor, në veçanti në lidhje me masat që kanë për qëllim rritjen e efikasitetit dhe cilësisë së shërbimeve gjyqësore;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h) </w:t>
      </w:r>
      <w:proofErr w:type="gramStart"/>
      <w:r w:rsidRPr="007E2393">
        <w:rPr>
          <w:rFonts w:ascii="Times New Roman" w:hAnsi="Times New Roman" w:cs="Times New Roman"/>
        </w:rPr>
        <w:t>garanton</w:t>
      </w:r>
      <w:proofErr w:type="gramEnd"/>
      <w:r w:rsidRPr="007E2393">
        <w:rPr>
          <w:rFonts w:ascii="Times New Roman" w:hAnsi="Times New Roman" w:cs="Times New Roman"/>
        </w:rPr>
        <w:t xml:space="preserve"> qasjen dhe mënyrën e përdorimit të sistemit të menaxhimit të çështjeve, në përputhje me politikat e përgjithshme shtetërore në fushën e teknologjisë dhe sigurisë së informacionit dhe rregullave të miratuara nga Këshilli i Lartë Gjyqësor, sipas parashikimeve të ligjit “Për organet e qeverisjes së sistemit të drejtësisë”; </w:t>
      </w:r>
    </w:p>
    <w:p w:rsidR="003850E8" w:rsidRPr="007E2393" w:rsidRDefault="003850E8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i) </w:t>
      </w:r>
      <w:proofErr w:type="gramStart"/>
      <w:r w:rsidRPr="007E2393">
        <w:rPr>
          <w:rFonts w:ascii="Times New Roman" w:hAnsi="Times New Roman" w:cs="Times New Roman"/>
        </w:rPr>
        <w:t>ushtron</w:t>
      </w:r>
      <w:proofErr w:type="gramEnd"/>
      <w:r w:rsidRPr="007E2393">
        <w:rPr>
          <w:rFonts w:ascii="Times New Roman" w:hAnsi="Times New Roman" w:cs="Times New Roman"/>
        </w:rPr>
        <w:t xml:space="preserve"> çdo detyrë tjetër që lidhet me veprimtaritë jogjyqësore të gjykatës, siç përcaktohet me ligj ose vendim të Këshillit të Lartë Gjyqësor.</w:t>
      </w:r>
    </w:p>
    <w:p w:rsidR="00B54033" w:rsidRPr="007E2393" w:rsidRDefault="00B5403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869A0" w:rsidRDefault="00B54033" w:rsidP="00ED1D5B">
      <w:pPr>
        <w:pStyle w:val="Defaul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E2393">
        <w:rPr>
          <w:rFonts w:ascii="Times New Roman" w:hAnsi="Times New Roman" w:cs="Times New Roman"/>
          <w:b/>
        </w:rPr>
        <w:t>Z</w:t>
      </w:r>
      <w:r w:rsidR="00EA76DC" w:rsidRPr="007E2393">
        <w:rPr>
          <w:rFonts w:ascii="Times New Roman" w:hAnsi="Times New Roman" w:cs="Times New Roman"/>
          <w:b/>
        </w:rPr>
        <w:t>Ë</w:t>
      </w:r>
      <w:r w:rsidRPr="007E2393">
        <w:rPr>
          <w:rFonts w:ascii="Times New Roman" w:hAnsi="Times New Roman" w:cs="Times New Roman"/>
          <w:b/>
        </w:rPr>
        <w:t>VEND</w:t>
      </w:r>
      <w:r w:rsidR="00EA76DC" w:rsidRPr="007E2393">
        <w:rPr>
          <w:rFonts w:ascii="Times New Roman" w:hAnsi="Times New Roman" w:cs="Times New Roman"/>
          <w:b/>
        </w:rPr>
        <w:t>Ë</w:t>
      </w:r>
      <w:r w:rsidR="00ED1D5B">
        <w:rPr>
          <w:rFonts w:ascii="Times New Roman" w:hAnsi="Times New Roman" w:cs="Times New Roman"/>
          <w:b/>
        </w:rPr>
        <w:t>S</w:t>
      </w:r>
      <w:r w:rsidRPr="007E2393">
        <w:rPr>
          <w:rFonts w:ascii="Times New Roman" w:hAnsi="Times New Roman" w:cs="Times New Roman"/>
          <w:b/>
        </w:rPr>
        <w:t>KRYETARI</w:t>
      </w:r>
    </w:p>
    <w:p w:rsidR="00ED1D5B" w:rsidRPr="007E2393" w:rsidRDefault="00ED1D5B" w:rsidP="00ED1D5B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125EBC" w:rsidRPr="007E2393" w:rsidRDefault="001869A0" w:rsidP="00ED1D5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7E2393">
        <w:rPr>
          <w:rFonts w:ascii="Times New Roman" w:hAnsi="Times New Roman" w:cs="Times New Roman"/>
        </w:rPr>
        <w:t>Zëvendëskryetari duhet të ketë të paktën pesë vjet përvojë profesionale si gjyqtar, nga të cilat të paktën tre vjet në të njëjtën shkallë.</w:t>
      </w:r>
      <w:proofErr w:type="gramEnd"/>
      <w:r w:rsidRPr="007E2393">
        <w:rPr>
          <w:rFonts w:ascii="Times New Roman" w:hAnsi="Times New Roman" w:cs="Times New Roman"/>
        </w:rPr>
        <w:t xml:space="preserve"> </w:t>
      </w:r>
      <w:proofErr w:type="gramStart"/>
      <w:r w:rsidRPr="007E2393">
        <w:rPr>
          <w:rFonts w:ascii="Times New Roman" w:hAnsi="Times New Roman" w:cs="Times New Roman"/>
        </w:rPr>
        <w:t>Zëvendëskryetari zgjidhet nga mbledhja e përgjithshme e gjyqtarëve për një mandat trevjeçar pa të drejtë rizgjedhjeje.</w:t>
      </w:r>
      <w:proofErr w:type="gramEnd"/>
    </w:p>
    <w:p w:rsidR="00125EBC" w:rsidRPr="007E2393" w:rsidRDefault="001869A0" w:rsidP="00ED1D5B">
      <w:pPr>
        <w:pStyle w:val="Default"/>
        <w:spacing w:line="276" w:lineRule="auto"/>
        <w:jc w:val="both"/>
        <w:rPr>
          <w:rFonts w:ascii="Times New Roman" w:hAnsi="Times New Roman" w:cs="Times New Roman"/>
          <w:lang w:val="sq-AL"/>
        </w:rPr>
      </w:pPr>
      <w:r w:rsidRPr="007E2393">
        <w:rPr>
          <w:rFonts w:ascii="Times New Roman" w:hAnsi="Times New Roman" w:cs="Times New Roman"/>
        </w:rPr>
        <w:t xml:space="preserve">Rregulla </w:t>
      </w:r>
      <w:proofErr w:type="gramStart"/>
      <w:r w:rsidRPr="007E2393">
        <w:rPr>
          <w:rFonts w:ascii="Times New Roman" w:hAnsi="Times New Roman" w:cs="Times New Roman"/>
        </w:rPr>
        <w:t>m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 t</w:t>
      </w:r>
      <w:r w:rsidR="007E2393" w:rsidRPr="007E2393">
        <w:rPr>
          <w:rFonts w:ascii="Times New Roman" w:hAnsi="Times New Roman" w:cs="Times New Roman"/>
        </w:rPr>
        <w:t>ë</w:t>
      </w:r>
      <w:proofErr w:type="gramEnd"/>
      <w:r w:rsidRPr="007E2393">
        <w:rPr>
          <w:rFonts w:ascii="Times New Roman" w:hAnsi="Times New Roman" w:cs="Times New Roman"/>
        </w:rPr>
        <w:t xml:space="preserve"> detajuara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rzgjedhjen e Z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vend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skryetarit 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Gjykat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s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Apelit Durr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parashikohen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</w:t>
      </w:r>
      <w:r w:rsidR="00125EBC" w:rsidRPr="007E2393">
        <w:rPr>
          <w:rFonts w:ascii="Times New Roman" w:hAnsi="Times New Roman" w:cs="Times New Roman"/>
        </w:rPr>
        <w:t>Rregullore</w:t>
      </w:r>
      <w:r w:rsidRPr="007E2393">
        <w:rPr>
          <w:rFonts w:ascii="Times New Roman" w:hAnsi="Times New Roman" w:cs="Times New Roman"/>
        </w:rPr>
        <w:t>n</w:t>
      </w:r>
      <w:r w:rsidR="00125EBC" w:rsidRPr="007E2393">
        <w:rPr>
          <w:rFonts w:ascii="Times New Roman" w:hAnsi="Times New Roman" w:cs="Times New Roman"/>
        </w:rPr>
        <w:t xml:space="preserve"> </w:t>
      </w:r>
      <w:r w:rsidRPr="007E2393">
        <w:rPr>
          <w:rFonts w:ascii="Times New Roman" w:hAnsi="Times New Roman" w:cs="Times New Roman"/>
        </w:rPr>
        <w:t xml:space="preserve">e </w:t>
      </w:r>
      <w:r w:rsidR="00125EBC" w:rsidRPr="007E2393">
        <w:rPr>
          <w:rFonts w:ascii="Times New Roman" w:hAnsi="Times New Roman" w:cs="Times New Roman"/>
        </w:rPr>
        <w:t>K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shillit t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 xml:space="preserve"> Lart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 xml:space="preserve"> Gjyq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sor “P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r miratimin e rregullave p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r zgjedhjen e z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vend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skryetar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>ve t</w:t>
      </w:r>
      <w:r w:rsidR="007E2393" w:rsidRPr="007E2393">
        <w:rPr>
          <w:rFonts w:ascii="Times New Roman" w:hAnsi="Times New Roman" w:cs="Times New Roman"/>
        </w:rPr>
        <w:t>ë</w:t>
      </w:r>
      <w:r w:rsidR="00125EBC" w:rsidRPr="007E2393">
        <w:rPr>
          <w:rFonts w:ascii="Times New Roman" w:hAnsi="Times New Roman" w:cs="Times New Roman"/>
        </w:rPr>
        <w:t xml:space="preserve"> gjykatave”, </w:t>
      </w:r>
    </w:p>
    <w:p w:rsidR="00B54033" w:rsidRPr="007E2393" w:rsidRDefault="00125EBC" w:rsidP="00ED1D5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Në mungesë të K</w:t>
      </w:r>
      <w:r w:rsidR="00B54033" w:rsidRPr="007E2393">
        <w:rPr>
          <w:rFonts w:ascii="Times New Roman" w:hAnsi="Times New Roman" w:cs="Times New Roman"/>
        </w:rPr>
        <w:t>ryetarit</w:t>
      </w:r>
      <w:r w:rsidRPr="007E2393">
        <w:rPr>
          <w:rFonts w:ascii="Times New Roman" w:hAnsi="Times New Roman" w:cs="Times New Roman"/>
        </w:rPr>
        <w:t xml:space="preserve"> 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Gjykat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s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Apelit Durr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</w:t>
      </w:r>
      <w:r w:rsidR="00B54033" w:rsidRPr="007E2393">
        <w:rPr>
          <w:rFonts w:ascii="Times New Roman" w:hAnsi="Times New Roman" w:cs="Times New Roman"/>
        </w:rPr>
        <w:t xml:space="preserve">, kompetencat e tij </w:t>
      </w:r>
      <w:r w:rsidRPr="007E2393">
        <w:rPr>
          <w:rFonts w:ascii="Times New Roman" w:hAnsi="Times New Roman" w:cs="Times New Roman"/>
        </w:rPr>
        <w:t>ushtrohen nga zëvendëskryetari i k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saj gjykate.</w:t>
      </w:r>
      <w:proofErr w:type="gramEnd"/>
    </w:p>
    <w:p w:rsidR="00B54033" w:rsidRPr="007E2393" w:rsidRDefault="00B54033" w:rsidP="007E239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54033" w:rsidRPr="007E2393" w:rsidRDefault="00B54033" w:rsidP="00ED1D5B">
      <w:pPr>
        <w:pStyle w:val="Defaul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E2393">
        <w:rPr>
          <w:rFonts w:ascii="Times New Roman" w:hAnsi="Times New Roman" w:cs="Times New Roman"/>
          <w:b/>
        </w:rPr>
        <w:t>GJYQTAR</w:t>
      </w:r>
      <w:r w:rsidR="00EA76DC" w:rsidRPr="007E2393">
        <w:rPr>
          <w:rFonts w:ascii="Times New Roman" w:hAnsi="Times New Roman" w:cs="Times New Roman"/>
          <w:b/>
        </w:rPr>
        <w:t>Ë</w:t>
      </w:r>
      <w:r w:rsidRPr="007E2393">
        <w:rPr>
          <w:rFonts w:ascii="Times New Roman" w:hAnsi="Times New Roman" w:cs="Times New Roman"/>
          <w:b/>
        </w:rPr>
        <w:t>T</w:t>
      </w:r>
    </w:p>
    <w:p w:rsidR="0069067E" w:rsidRPr="007E2393" w:rsidRDefault="0069067E" w:rsidP="007E2393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B54033" w:rsidRPr="007E2393" w:rsidRDefault="0069067E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>Sipas ligjit nr.96/2016 “P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statusin e gjyqtar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ve dhe Prokuror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ve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Republik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n e Shqip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ris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” </w:t>
      </w:r>
      <w:r w:rsidR="003D4BCF" w:rsidRPr="007E2393">
        <w:rPr>
          <w:rFonts w:ascii="Times New Roman" w:hAnsi="Times New Roman" w:cs="Times New Roman"/>
        </w:rPr>
        <w:t>nenit 47/4 i k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tij ligji parashikon se “</w:t>
      </w:r>
      <w:r w:rsidRPr="007E2393">
        <w:rPr>
          <w:rFonts w:ascii="Times New Roman" w:hAnsi="Times New Roman" w:cs="Times New Roman"/>
        </w:rPr>
        <w:t>magjistrati mund të ngrihet në detyrë në pozicione pranë gjykatave ose prokurorive të shkallës së dytë, nëse ka ushtruar funksionin jo më pak se shtatë vjet në shkallën e parë, nga të cilat të paktën pesë vjet në fushën e së drejtës përkatëse të përshtatshme për pozicionin e lirë, duke përfshirë edhe përvojën si magjistrat i komanduar</w:t>
      </w:r>
      <w:r w:rsidR="003D4BCF" w:rsidRPr="007E2393">
        <w:rPr>
          <w:rFonts w:ascii="Times New Roman" w:hAnsi="Times New Roman" w:cs="Times New Roman"/>
        </w:rPr>
        <w:t xml:space="preserve">”. </w:t>
      </w:r>
      <w:proofErr w:type="gramStart"/>
      <w:r w:rsidR="003D4BCF" w:rsidRPr="007E2393">
        <w:rPr>
          <w:rFonts w:ascii="Times New Roman" w:hAnsi="Times New Roman" w:cs="Times New Roman"/>
        </w:rPr>
        <w:t>Procedurat ne “ngritjen n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 xml:space="preserve"> detyr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” sipas k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tij ligji p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r gjyqtar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t e em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ruar pran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 xml:space="preserve"> Gjykat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s s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 xml:space="preserve"> Apelit Durr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s zhvillohen nga K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shilli i Lart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 xml:space="preserve"> Gjyq</w:t>
      </w:r>
      <w:r w:rsidR="007E2393" w:rsidRPr="007E2393">
        <w:rPr>
          <w:rFonts w:ascii="Times New Roman" w:hAnsi="Times New Roman" w:cs="Times New Roman"/>
        </w:rPr>
        <w:t>ë</w:t>
      </w:r>
      <w:r w:rsidR="003D4BCF" w:rsidRPr="007E2393">
        <w:rPr>
          <w:rFonts w:ascii="Times New Roman" w:hAnsi="Times New Roman" w:cs="Times New Roman"/>
        </w:rPr>
        <w:t>sor.</w:t>
      </w:r>
      <w:proofErr w:type="gramEnd"/>
    </w:p>
    <w:p w:rsidR="00AA7582" w:rsidRDefault="003D4BCF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lastRenderedPageBreak/>
        <w:t>Gjyqtarët</w:t>
      </w:r>
      <w:r w:rsidR="00476762" w:rsidRPr="007E2393">
        <w:rPr>
          <w:rFonts w:ascii="Times New Roman" w:hAnsi="Times New Roman" w:cs="Times New Roman"/>
        </w:rPr>
        <w:t xml:space="preserve"> gjatë ushtrimit të funksionit dhe vendimmarrjes, janë të pavarur dhe të paanshëm.</w:t>
      </w:r>
      <w:proofErr w:type="gramEnd"/>
      <w:r w:rsidR="00476762" w:rsidRPr="007E2393">
        <w:rPr>
          <w:rFonts w:ascii="Times New Roman" w:hAnsi="Times New Roman" w:cs="Times New Roman"/>
        </w:rPr>
        <w:t xml:space="preserve"> </w:t>
      </w:r>
      <w:proofErr w:type="gramStart"/>
      <w:r w:rsidR="00476762" w:rsidRPr="007E2393">
        <w:rPr>
          <w:rFonts w:ascii="Times New Roman" w:hAnsi="Times New Roman" w:cs="Times New Roman"/>
        </w:rPr>
        <w:t xml:space="preserve">Detyra e gjyqtarit 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>sht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t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jap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drejt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>si n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zgjidhjen e mosmarr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>veshje t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ndryshme q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 xml:space="preserve"> i paraqiten p</w:t>
      </w:r>
      <w:r w:rsidR="00EA76DC" w:rsidRPr="007E2393">
        <w:rPr>
          <w:rFonts w:ascii="Times New Roman" w:hAnsi="Times New Roman" w:cs="Times New Roman"/>
        </w:rPr>
        <w:t>ë</w:t>
      </w:r>
      <w:r w:rsidR="00476762" w:rsidRPr="007E2393">
        <w:rPr>
          <w:rFonts w:ascii="Times New Roman" w:hAnsi="Times New Roman" w:cs="Times New Roman"/>
        </w:rPr>
        <w:t>r shqyrtim.</w:t>
      </w:r>
      <w:proofErr w:type="gramEnd"/>
      <w:r w:rsidR="00476762" w:rsidRPr="007E2393">
        <w:rPr>
          <w:rFonts w:ascii="Times New Roman" w:hAnsi="Times New Roman" w:cs="Times New Roman"/>
        </w:rPr>
        <w:t xml:space="preserve"> </w:t>
      </w:r>
    </w:p>
    <w:p w:rsidR="00476762" w:rsidRPr="007E2393" w:rsidRDefault="00476762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Gjyqtar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t gjat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ushtrimit t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detyr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s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tyre respektojn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Kushtetu</w:t>
      </w:r>
      <w:r w:rsidR="00AA7582">
        <w:rPr>
          <w:rFonts w:ascii="Times New Roman" w:hAnsi="Times New Roman" w:cs="Times New Roman"/>
        </w:rPr>
        <w:t>t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n dhe Ligjet e Republik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s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Shqip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ris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, etik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n, solemnitetin e gjykimit, jan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transparent dhe t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pavarur n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vendimmarrjen e tyre.</w:t>
      </w:r>
      <w:proofErr w:type="gramEnd"/>
      <w:r w:rsidRPr="007E2393">
        <w:rPr>
          <w:rFonts w:ascii="Times New Roman" w:hAnsi="Times New Roman" w:cs="Times New Roman"/>
        </w:rPr>
        <w:t xml:space="preserve"> </w:t>
      </w:r>
    </w:p>
    <w:p w:rsidR="00476762" w:rsidRPr="007E2393" w:rsidRDefault="00476762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76762" w:rsidRDefault="00476762" w:rsidP="00ED1D5B">
      <w:pPr>
        <w:pStyle w:val="Defaul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E2393">
        <w:rPr>
          <w:rFonts w:ascii="Times New Roman" w:hAnsi="Times New Roman" w:cs="Times New Roman"/>
          <w:b/>
        </w:rPr>
        <w:t>KANCELARI</w:t>
      </w:r>
    </w:p>
    <w:p w:rsidR="00ED1D5B" w:rsidRPr="007E2393" w:rsidRDefault="00ED1D5B" w:rsidP="00ED1D5B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:rsidR="00B0749A" w:rsidRPr="007E2393" w:rsidRDefault="0071463E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  <w:bCs/>
        </w:rPr>
        <w:t>Kancelari em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rohet nga detyr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 xml:space="preserve"> nga K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shilli i Lart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 xml:space="preserve"> Gjyq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sor, n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se ka p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rfunduar programin e formimit pran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 xml:space="preserve"> Shkoll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s s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 xml:space="preserve"> Magjistratur</w:t>
      </w:r>
      <w:r w:rsidR="007E2393" w:rsidRPr="007E2393">
        <w:rPr>
          <w:rFonts w:ascii="Times New Roman" w:hAnsi="Times New Roman" w:cs="Times New Roman"/>
          <w:bCs/>
        </w:rPr>
        <w:t>ë</w:t>
      </w:r>
      <w:r w:rsidRPr="007E2393">
        <w:rPr>
          <w:rFonts w:ascii="Times New Roman" w:hAnsi="Times New Roman" w:cs="Times New Roman"/>
          <w:bCs/>
        </w:rPr>
        <w:t>s</w:t>
      </w:r>
      <w:r w:rsidR="006A75EB" w:rsidRPr="007E2393">
        <w:rPr>
          <w:rFonts w:ascii="Times New Roman" w:hAnsi="Times New Roman" w:cs="Times New Roman"/>
        </w:rPr>
        <w:t xml:space="preserve"> dhe verifikimit të pasurisë dhe figurës</w:t>
      </w:r>
      <w:r w:rsidRPr="007E2393">
        <w:rPr>
          <w:rFonts w:ascii="Times New Roman" w:hAnsi="Times New Roman" w:cs="Times New Roman"/>
          <w:bCs/>
        </w:rPr>
        <w:t>.</w:t>
      </w:r>
      <w:r w:rsidR="00B0749A" w:rsidRPr="007E2393">
        <w:rPr>
          <w:rFonts w:ascii="Times New Roman" w:hAnsi="Times New Roman" w:cs="Times New Roman"/>
        </w:rPr>
        <w:t xml:space="preserve"> Sipas ndryshimeve n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ligj, </w:t>
      </w:r>
      <w:r w:rsidR="006A75EB" w:rsidRPr="007E2393">
        <w:rPr>
          <w:rFonts w:ascii="Times New Roman" w:hAnsi="Times New Roman" w:cs="Times New Roman"/>
        </w:rPr>
        <w:t>p</w:t>
      </w:r>
      <w:r w:rsidR="007E2393" w:rsidRPr="007E2393">
        <w:rPr>
          <w:rFonts w:ascii="Times New Roman" w:hAnsi="Times New Roman" w:cs="Times New Roman"/>
        </w:rPr>
        <w:t>ë</w:t>
      </w:r>
      <w:r w:rsidR="006A75EB" w:rsidRPr="007E2393">
        <w:rPr>
          <w:rFonts w:ascii="Times New Roman" w:hAnsi="Times New Roman" w:cs="Times New Roman"/>
        </w:rPr>
        <w:t xml:space="preserve">r Kancelarin </w:t>
      </w:r>
      <w:r w:rsidR="00B0749A" w:rsidRPr="007E2393">
        <w:rPr>
          <w:rFonts w:ascii="Times New Roman" w:hAnsi="Times New Roman" w:cs="Times New Roman"/>
        </w:rPr>
        <w:t>n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detyr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</w:t>
      </w:r>
      <w:r w:rsidR="006A75EB" w:rsidRPr="007E2393">
        <w:rPr>
          <w:rFonts w:ascii="Times New Roman" w:hAnsi="Times New Roman" w:cs="Times New Roman"/>
        </w:rPr>
        <w:t>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Gjykat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s s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Apelit Durr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s zbatohen parashikimet e p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rcaktuara n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vendimin nr.424, dat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12.10.2020 P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r procedur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n e verifikimit 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kushteve dhe kritereve ligjore 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rekrutimit t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 xml:space="preserve"> kandidatit p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r kancelar, p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r k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shilltar ose p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r ndihm</w:t>
      </w:r>
      <w:r w:rsidR="007E2393" w:rsidRPr="007E2393">
        <w:rPr>
          <w:rFonts w:ascii="Times New Roman" w:hAnsi="Times New Roman" w:cs="Times New Roman"/>
        </w:rPr>
        <w:t>ë</w:t>
      </w:r>
      <w:r w:rsidR="00B0749A" w:rsidRPr="007E2393">
        <w:rPr>
          <w:rFonts w:ascii="Times New Roman" w:hAnsi="Times New Roman" w:cs="Times New Roman"/>
        </w:rPr>
        <w:t>s ligjor….”</w:t>
      </w:r>
      <w:r w:rsidR="006A75EB" w:rsidRPr="007E2393">
        <w:rPr>
          <w:rFonts w:ascii="Times New Roman" w:hAnsi="Times New Roman" w:cs="Times New Roman"/>
        </w:rPr>
        <w:t>.</w:t>
      </w:r>
    </w:p>
    <w:p w:rsidR="00476762" w:rsidRPr="007E2393" w:rsidRDefault="00476762" w:rsidP="007E239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76762" w:rsidRPr="007E2393" w:rsidRDefault="00476762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Kancelari është përgjegjës për menaxhimin e administrimit gjyqësor dhe në veçanti ka kompetencat e mëposhtme: </w:t>
      </w:r>
    </w:p>
    <w:p w:rsidR="00476762" w:rsidRPr="007E2393" w:rsidRDefault="00476762" w:rsidP="00ED1D5B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është anëtar me të drejtë vote në Këshillin e Gjykatës, në përputhje me nenin 27, dhe i Komisionit të Ristrukturimit, sipas pikës 6, të nenit 66, të këtij ligji; </w:t>
      </w:r>
    </w:p>
    <w:p w:rsidR="00476762" w:rsidRPr="007E2393" w:rsidRDefault="00476762" w:rsidP="007E239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 kryen veprime dhe merr vendime që lidhen me statusin e nëpunësve civilë gjyqësorë siç parashikohet në këtë ligj; </w:t>
      </w:r>
    </w:p>
    <w:p w:rsidR="00476762" w:rsidRPr="007E2393" w:rsidRDefault="00476762" w:rsidP="007E239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mbikëqyr procesin e organizimit dhe dokumentimit të ndarjes së çështjeve me short; </w:t>
      </w:r>
    </w:p>
    <w:p w:rsidR="00476762" w:rsidRPr="007E2393" w:rsidRDefault="00476762" w:rsidP="007E239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emëron, drejton, mbikëqyr dhe shkarkon punonjësit e gjykatës; </w:t>
      </w:r>
    </w:p>
    <w:p w:rsidR="00476762" w:rsidRPr="007E2393" w:rsidRDefault="00476762" w:rsidP="007E239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mbikëqyr</w:t>
      </w:r>
      <w:proofErr w:type="gramEnd"/>
      <w:r w:rsidRPr="007E2393">
        <w:rPr>
          <w:rFonts w:ascii="Times New Roman" w:hAnsi="Times New Roman" w:cs="Times New Roman"/>
        </w:rPr>
        <w:t xml:space="preserve"> mirëmbajtjen e godinës së gjykatës. </w:t>
      </w:r>
    </w:p>
    <w:p w:rsidR="00476762" w:rsidRPr="007E2393" w:rsidRDefault="00476762" w:rsidP="00ED1D5B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Pas këshillimit me Kryetarin e Gjykatës, kancelari është përgjegjës për: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funksionimin e sistemit të menaxhimit të çështjeve në gjykatë, në përputhje me legjislacionin në fuqi për teknologjinë dhe sigurinë e informacionit dhe mbikëqyrjen e mbledhjes dhe përpunimit të saktë të të dhënave;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dorëzimin e raporteve periodike për gjendjen e përdorimit dhe funksionimit të sistemit të menaxhimit të çështjeve Këshillit të Lartë Gjyqësor;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 raportimin pa vonesë Këshillit të Lartë Gjyqësor mbi nevojat dhe përditësimet e nevojshme të funksionimit të sistemit të menaxhimit të çështjeve;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udhëzimin dhe mbikëqyrjen e punës së nëpunësve civilë gjyqësorë të gjykatës;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 i siguron Këshillit të Lartë Gjyqësor dhe Ministrisë së Drejtësisë qasje në të dhënat statistikore për aq sa u nevojitet këtyre institucioneve në ushtrimin e kompetencave të tyre të caktuara me ligj; </w:t>
      </w:r>
    </w:p>
    <w:p w:rsidR="00476762" w:rsidRPr="007E2393" w:rsidRDefault="00476762" w:rsidP="007E2393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kryen</w:t>
      </w:r>
      <w:proofErr w:type="gramEnd"/>
      <w:r w:rsidRPr="007E2393">
        <w:rPr>
          <w:rFonts w:ascii="Times New Roman" w:hAnsi="Times New Roman" w:cs="Times New Roman"/>
        </w:rPr>
        <w:t xml:space="preserve"> çdo detyrë, siç përcaktohet me ligj ose siç autorizohet nga kryetari.</w:t>
      </w:r>
    </w:p>
    <w:p w:rsidR="004816D3" w:rsidRPr="007E2393" w:rsidRDefault="004816D3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816D3" w:rsidRPr="007E2393" w:rsidRDefault="004816D3" w:rsidP="00ED1D5B">
      <w:pPr>
        <w:pStyle w:val="Default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E2393">
        <w:rPr>
          <w:rFonts w:ascii="Times New Roman" w:hAnsi="Times New Roman" w:cs="Times New Roman"/>
          <w:b/>
        </w:rPr>
        <w:t>NDIHM</w:t>
      </w:r>
      <w:r w:rsidR="00EA76DC" w:rsidRPr="007E2393">
        <w:rPr>
          <w:rFonts w:ascii="Times New Roman" w:hAnsi="Times New Roman" w:cs="Times New Roman"/>
          <w:b/>
        </w:rPr>
        <w:t>Ë</w:t>
      </w:r>
      <w:r w:rsidRPr="007E2393">
        <w:rPr>
          <w:rFonts w:ascii="Times New Roman" w:hAnsi="Times New Roman" w:cs="Times New Roman"/>
          <w:b/>
        </w:rPr>
        <w:t>SIT LIGJOR</w:t>
      </w:r>
      <w:r w:rsidR="00EA76DC" w:rsidRPr="007E2393">
        <w:rPr>
          <w:rFonts w:ascii="Times New Roman" w:hAnsi="Times New Roman" w:cs="Times New Roman"/>
          <w:b/>
        </w:rPr>
        <w:t>Ë</w:t>
      </w:r>
    </w:p>
    <w:p w:rsidR="00B0749A" w:rsidRDefault="00B0749A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lastRenderedPageBreak/>
        <w:t>Spas ndryshimeve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ligj,</w:t>
      </w:r>
      <w:r w:rsidR="0071463E" w:rsidRPr="007E2393">
        <w:rPr>
          <w:rFonts w:ascii="Times New Roman" w:hAnsi="Times New Roman" w:cs="Times New Roman"/>
        </w:rPr>
        <w:t xml:space="preserve"> ndihmës</w:t>
      </w:r>
      <w:r w:rsidR="00ED1D5B">
        <w:rPr>
          <w:rFonts w:ascii="Times New Roman" w:hAnsi="Times New Roman" w:cs="Times New Roman"/>
        </w:rPr>
        <w:t>it</w:t>
      </w:r>
      <w:r w:rsidR="0071463E" w:rsidRPr="007E2393">
        <w:rPr>
          <w:rFonts w:ascii="Times New Roman" w:hAnsi="Times New Roman" w:cs="Times New Roman"/>
        </w:rPr>
        <w:t xml:space="preserve"> ligjorë në gjykatat e apelit, të cilët kanë kaluar me sukses programin e formimit fillesta</w:t>
      </w:r>
      <w:r w:rsidRPr="007E2393">
        <w:rPr>
          <w:rFonts w:ascii="Times New Roman" w:hAnsi="Times New Roman" w:cs="Times New Roman"/>
        </w:rPr>
        <w:t>r në Shkollën e Magjistraturës</w:t>
      </w:r>
      <w:r w:rsidR="006A75EB" w:rsidRPr="007E2393">
        <w:rPr>
          <w:rFonts w:ascii="Times New Roman" w:hAnsi="Times New Roman" w:cs="Times New Roman"/>
        </w:rPr>
        <w:t xml:space="preserve"> dhe verifikimit të pasurisë dhe figurës</w:t>
      </w:r>
      <w:r w:rsidR="0071463E" w:rsidRPr="007E2393">
        <w:rPr>
          <w:rFonts w:ascii="Times New Roman" w:hAnsi="Times New Roman" w:cs="Times New Roman"/>
        </w:rPr>
        <w:t xml:space="preserve">, </w:t>
      </w:r>
      <w:r w:rsidRPr="007E2393">
        <w:rPr>
          <w:rFonts w:ascii="Times New Roman" w:hAnsi="Times New Roman" w:cs="Times New Roman"/>
        </w:rPr>
        <w:t>em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rohen n</w:t>
      </w:r>
      <w:r w:rsidR="007E2393" w:rsidRPr="007E2393">
        <w:rPr>
          <w:rFonts w:ascii="Times New Roman" w:hAnsi="Times New Roman" w:cs="Times New Roman"/>
        </w:rPr>
        <w:t>ë</w:t>
      </w:r>
      <w:r w:rsidR="00ED1D5B">
        <w:rPr>
          <w:rFonts w:ascii="Times New Roman" w:hAnsi="Times New Roman" w:cs="Times New Roman"/>
        </w:rPr>
        <w:t xml:space="preserve"> N</w:t>
      </w:r>
      <w:r w:rsidRPr="007E2393">
        <w:rPr>
          <w:rFonts w:ascii="Times New Roman" w:hAnsi="Times New Roman" w:cs="Times New Roman"/>
        </w:rPr>
        <w:t>j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sin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e Sh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rbimit Ligjor pran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Gjykat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s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Apelit Durr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nga K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shilli i Lart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Gjyq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sor.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ndihm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sit ligjor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detyr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zbatohen parashikimet e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rcaktuara n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vendimin nr.424, dat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12.10.2020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procedur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n e verifikimit 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kushteve dhe kritereve ligjore 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rekrutimit t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 xml:space="preserve"> kandidatit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kancelar,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k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shilltar ose p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r ndihm</w:t>
      </w:r>
      <w:r w:rsidR="007E2393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s ligjor….</w:t>
      </w:r>
      <w:proofErr w:type="gramStart"/>
      <w:r w:rsidRPr="007E2393">
        <w:rPr>
          <w:rFonts w:ascii="Times New Roman" w:hAnsi="Times New Roman" w:cs="Times New Roman"/>
        </w:rPr>
        <w:t>”</w:t>
      </w:r>
      <w:r w:rsidR="00ED1D5B">
        <w:rPr>
          <w:rFonts w:ascii="Times New Roman" w:hAnsi="Times New Roman" w:cs="Times New Roman"/>
        </w:rPr>
        <w:t>.</w:t>
      </w:r>
      <w:proofErr w:type="gramEnd"/>
    </w:p>
    <w:p w:rsidR="00ED1D5B" w:rsidRPr="007E2393" w:rsidRDefault="00ED1D5B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47E2" w:rsidRPr="007E2393" w:rsidRDefault="00F247E2" w:rsidP="007E239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Detyrat dhe </w:t>
      </w:r>
      <w:r w:rsidR="00ED1D5B">
        <w:rPr>
          <w:rFonts w:ascii="Times New Roman" w:hAnsi="Times New Roman" w:cs="Times New Roman"/>
        </w:rPr>
        <w:t xml:space="preserve">kompetencat e ndihmësit ligjor </w:t>
      </w:r>
      <w:r w:rsidRPr="007E2393">
        <w:rPr>
          <w:rFonts w:ascii="Times New Roman" w:hAnsi="Times New Roman" w:cs="Times New Roman"/>
        </w:rPr>
        <w:t>jan</w:t>
      </w:r>
      <w:r w:rsidR="00EA76DC" w:rsidRPr="007E2393">
        <w:rPr>
          <w:rFonts w:ascii="Times New Roman" w:hAnsi="Times New Roman" w:cs="Times New Roman"/>
        </w:rPr>
        <w:t>ë</w:t>
      </w:r>
      <w:r w:rsidRPr="007E2393">
        <w:rPr>
          <w:rFonts w:ascii="Times New Roman" w:hAnsi="Times New Roman" w:cs="Times New Roman"/>
        </w:rPr>
        <w:t>:</w:t>
      </w:r>
    </w:p>
    <w:p w:rsidR="00F247E2" w:rsidRPr="007E2393" w:rsidRDefault="00F247E2" w:rsidP="007E239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analizon praktikën gjyqësore përkatëse mbi interpretimin e dispozitave të zbatueshme për çështjet në gjykim; </w:t>
      </w:r>
    </w:p>
    <w:p w:rsidR="00F247E2" w:rsidRPr="007E2393" w:rsidRDefault="00F247E2" w:rsidP="007E239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 përpunon çështjen dhe përgatit çështje të thjeshta standarde me shkallë kompleksiteti të ulët për marrjen e vendimit nga gjyqtari; </w:t>
      </w:r>
    </w:p>
    <w:p w:rsidR="00F247E2" w:rsidRPr="007E2393" w:rsidRDefault="00F247E2" w:rsidP="007E239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E2393">
        <w:rPr>
          <w:rFonts w:ascii="Times New Roman" w:hAnsi="Times New Roman" w:cs="Times New Roman"/>
        </w:rPr>
        <w:t>kryen</w:t>
      </w:r>
      <w:proofErr w:type="gramEnd"/>
      <w:r w:rsidRPr="007E2393">
        <w:rPr>
          <w:rFonts w:ascii="Times New Roman" w:hAnsi="Times New Roman" w:cs="Times New Roman"/>
        </w:rPr>
        <w:t xml:space="preserve"> detyra të tjera për përpunimin e çështjes siç kërkohet nga gjyqtari ose siç parashikohet në ligj. </w:t>
      </w:r>
    </w:p>
    <w:p w:rsidR="00F247E2" w:rsidRPr="007E2393" w:rsidRDefault="00F247E2" w:rsidP="007E2393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E2393">
        <w:rPr>
          <w:rFonts w:ascii="Times New Roman" w:hAnsi="Times New Roman" w:cs="Times New Roman"/>
        </w:rPr>
        <w:t xml:space="preserve">Kryetari përcakton detyrat për ndihmësin ligjor, duke mbajtur parasysh përvojën profesionale dhe specializimin e tij, si dhe duke siguruar ngarkesë pune të barabartë ndërmjet ndihmësve ligjorë. </w:t>
      </w:r>
    </w:p>
    <w:p w:rsidR="00B54033" w:rsidRPr="007E2393" w:rsidRDefault="00B54033" w:rsidP="007E2393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B54033" w:rsidRPr="007E2393" w:rsidSect="003850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84" w:rsidRDefault="00F63384" w:rsidP="007E2393">
      <w:pPr>
        <w:spacing w:after="0" w:line="240" w:lineRule="auto"/>
      </w:pPr>
      <w:r>
        <w:separator/>
      </w:r>
    </w:p>
  </w:endnote>
  <w:endnote w:type="continuationSeparator" w:id="0">
    <w:p w:rsidR="00F63384" w:rsidRDefault="00F63384" w:rsidP="007E2393">
      <w:pPr>
        <w:spacing w:after="0" w:line="240" w:lineRule="auto"/>
      </w:pPr>
      <w:r>
        <w:continuationSeparator/>
      </w:r>
    </w:p>
  </w:endnote>
  <w:endnote w:id="1">
    <w:p w:rsidR="007E2393" w:rsidRPr="00B11A49" w:rsidRDefault="007E2393" w:rsidP="00B11A49">
      <w:pPr>
        <w:pStyle w:val="EndnoteText"/>
        <w:jc w:val="both"/>
        <w:rPr>
          <w:rFonts w:ascii="Times New Roman" w:hAnsi="Times New Roman" w:cs="Times New Roman"/>
          <w:sz w:val="16"/>
          <w:szCs w:val="16"/>
        </w:rPr>
      </w:pPr>
      <w:r w:rsidRPr="00B11A4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B11A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1A49">
        <w:rPr>
          <w:rFonts w:ascii="Times New Roman" w:hAnsi="Times New Roman" w:cs="Times New Roman"/>
          <w:sz w:val="16"/>
          <w:szCs w:val="16"/>
        </w:rPr>
        <w:t>Paga e Kryetarit 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Gjykat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 p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rcaktohet sipas ligjit nr.96/2016 “Për statusin e gjyqtarëve dhe Prokurorëve në Republikën e Shqipërisë” neni 12 dhe 14 i k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tij ligji.</w:t>
      </w:r>
      <w:proofErr w:type="gramEnd"/>
    </w:p>
  </w:endnote>
  <w:endnote w:id="2">
    <w:p w:rsidR="007E2393" w:rsidRPr="00B11A49" w:rsidRDefault="007E2393" w:rsidP="00B11A49">
      <w:pPr>
        <w:pStyle w:val="EndnoteText"/>
        <w:jc w:val="both"/>
        <w:rPr>
          <w:rFonts w:ascii="Times New Roman" w:hAnsi="Times New Roman" w:cs="Times New Roman"/>
          <w:sz w:val="16"/>
          <w:szCs w:val="16"/>
        </w:rPr>
      </w:pPr>
      <w:r w:rsidRPr="00B11A4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B11A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1A49">
        <w:rPr>
          <w:rFonts w:ascii="Times New Roman" w:hAnsi="Times New Roman" w:cs="Times New Roman"/>
          <w:sz w:val="16"/>
          <w:szCs w:val="16"/>
        </w:rPr>
        <w:t>Paga e Z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vend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skryetarit 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Gjykat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 p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rcaktohet sipas ligjit nr.96/2016 “Për statusin e gjyqtarëve dhe Prokurorëve në Republikën e Shqipërisë” neni 12 dhe 14 i k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tij ligji.</w:t>
      </w:r>
      <w:proofErr w:type="gramEnd"/>
    </w:p>
  </w:endnote>
  <w:endnote w:id="3">
    <w:p w:rsidR="007E2393" w:rsidRPr="00B11A49" w:rsidRDefault="007E2393" w:rsidP="00B11A49">
      <w:pPr>
        <w:pStyle w:val="EndnoteText"/>
        <w:jc w:val="both"/>
        <w:rPr>
          <w:rFonts w:ascii="Times New Roman" w:hAnsi="Times New Roman" w:cs="Times New Roman"/>
          <w:sz w:val="16"/>
          <w:szCs w:val="16"/>
        </w:rPr>
      </w:pPr>
      <w:r w:rsidRPr="00B11A4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B11A49">
        <w:rPr>
          <w:rFonts w:ascii="Times New Roman" w:hAnsi="Times New Roman" w:cs="Times New Roman"/>
          <w:sz w:val="16"/>
          <w:szCs w:val="16"/>
        </w:rPr>
        <w:t xml:space="preserve"> Paga e Gjyqtarit 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Gjykat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 s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1A49">
        <w:rPr>
          <w:rFonts w:ascii="Times New Roman" w:hAnsi="Times New Roman" w:cs="Times New Roman"/>
          <w:sz w:val="16"/>
          <w:szCs w:val="16"/>
        </w:rPr>
        <w:t>Apelit  p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rcaktohet</w:t>
      </w:r>
      <w:proofErr w:type="gramEnd"/>
      <w:r w:rsidRPr="00B11A49">
        <w:rPr>
          <w:rFonts w:ascii="Times New Roman" w:hAnsi="Times New Roman" w:cs="Times New Roman"/>
          <w:sz w:val="16"/>
          <w:szCs w:val="16"/>
        </w:rPr>
        <w:t xml:space="preserve"> sipas ligjit nr.96/2016 “Për statusin e gjyqtarëve dhe Prokurorëve në Republikën e Shqipërisë” neni 12 i k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tij ligji.</w:t>
      </w:r>
    </w:p>
  </w:endnote>
  <w:endnote w:id="4">
    <w:p w:rsidR="007E2393" w:rsidRPr="00B11A49" w:rsidRDefault="007E2393" w:rsidP="00B11A49">
      <w:pPr>
        <w:pStyle w:val="EndnoteText"/>
        <w:jc w:val="both"/>
        <w:rPr>
          <w:rFonts w:ascii="Times New Roman" w:hAnsi="Times New Roman" w:cs="Times New Roman"/>
          <w:sz w:val="16"/>
          <w:szCs w:val="16"/>
        </w:rPr>
      </w:pPr>
      <w:r w:rsidRPr="00B11A4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B11A49">
        <w:rPr>
          <w:rFonts w:ascii="Times New Roman" w:hAnsi="Times New Roman" w:cs="Times New Roman"/>
          <w:sz w:val="16"/>
          <w:szCs w:val="16"/>
        </w:rPr>
        <w:t xml:space="preserve"> Paga e Gjyqtarit 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Gjykat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 s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11A49">
        <w:rPr>
          <w:rFonts w:ascii="Times New Roman" w:hAnsi="Times New Roman" w:cs="Times New Roman"/>
          <w:sz w:val="16"/>
          <w:szCs w:val="16"/>
        </w:rPr>
        <w:t>Apelit  p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rcaktohet</w:t>
      </w:r>
      <w:proofErr w:type="gramEnd"/>
      <w:r w:rsidRPr="00B11A49">
        <w:rPr>
          <w:rFonts w:ascii="Times New Roman" w:hAnsi="Times New Roman" w:cs="Times New Roman"/>
          <w:sz w:val="16"/>
          <w:szCs w:val="16"/>
        </w:rPr>
        <w:t xml:space="preserve"> sipas ligjit nr.96/2016 “Për statusin e gjyqtarëve dhe Prokurorëve në Republikën e Shqipërisë” neni 12 i k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tij ligji.</w:t>
      </w:r>
    </w:p>
  </w:endnote>
  <w:endnote w:id="5">
    <w:p w:rsidR="007E2393" w:rsidRPr="00B11A49" w:rsidRDefault="007E2393" w:rsidP="00B11A49">
      <w:pPr>
        <w:pStyle w:val="EndnoteText"/>
        <w:jc w:val="both"/>
        <w:rPr>
          <w:rFonts w:ascii="Times New Roman" w:hAnsi="Times New Roman" w:cs="Times New Roman"/>
          <w:sz w:val="16"/>
          <w:szCs w:val="16"/>
        </w:rPr>
      </w:pPr>
      <w:r w:rsidRPr="00B11A49">
        <w:rPr>
          <w:rStyle w:val="EndnoteReference"/>
          <w:rFonts w:ascii="Times New Roman" w:hAnsi="Times New Roman" w:cs="Times New Roman"/>
          <w:sz w:val="16"/>
          <w:szCs w:val="16"/>
        </w:rPr>
        <w:endnoteRef/>
      </w:r>
      <w:r w:rsidRPr="00B11A49">
        <w:rPr>
          <w:rFonts w:ascii="Times New Roman" w:hAnsi="Times New Roman" w:cs="Times New Roman"/>
          <w:sz w:val="16"/>
          <w:szCs w:val="16"/>
        </w:rPr>
        <w:t xml:space="preserve"> Paga e Kancelarit 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 Gjykat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>s p</w:t>
      </w:r>
      <w:r w:rsidR="001C695D">
        <w:rPr>
          <w:rFonts w:ascii="Times New Roman" w:hAnsi="Times New Roman" w:cs="Times New Roman"/>
          <w:sz w:val="16"/>
          <w:szCs w:val="16"/>
        </w:rPr>
        <w:t>ë</w:t>
      </w:r>
      <w:r w:rsidRPr="00B11A49">
        <w:rPr>
          <w:rFonts w:ascii="Times New Roman" w:hAnsi="Times New Roman" w:cs="Times New Roman"/>
          <w:sz w:val="16"/>
          <w:szCs w:val="16"/>
        </w:rPr>
        <w:t xml:space="preserve">rcaktohet sipas </w:t>
      </w:r>
      <w:r w:rsidRPr="00B11A49">
        <w:rPr>
          <w:rFonts w:ascii="Times New Roman" w:eastAsia="Calibri" w:hAnsi="Times New Roman" w:cs="Times New Roman"/>
          <w:sz w:val="16"/>
          <w:szCs w:val="16"/>
          <w:lang w:val="nl-NL"/>
        </w:rPr>
        <w:t>VKM-së</w:t>
      </w:r>
      <w:r w:rsidRPr="00B11A49">
        <w:rPr>
          <w:rFonts w:ascii="Times New Roman" w:hAnsi="Times New Roman" w:cs="Times New Roman"/>
          <w:sz w:val="16"/>
          <w:szCs w:val="16"/>
          <w:lang w:val="nl-NL"/>
        </w:rPr>
        <w:t xml:space="preserve"> nr.</w:t>
      </w:r>
      <w:r w:rsidRPr="00B11A49">
        <w:rPr>
          <w:rFonts w:ascii="Times New Roman" w:eastAsia="Calibri" w:hAnsi="Times New Roman" w:cs="Times New Roman"/>
          <w:sz w:val="16"/>
          <w:szCs w:val="16"/>
          <w:lang w:val="nl-NL"/>
        </w:rPr>
        <w:t>187 datë</w:t>
      </w:r>
      <w:r w:rsidRPr="00B11A49">
        <w:rPr>
          <w:rFonts w:ascii="Times New Roman" w:hAnsi="Times New Roman" w:cs="Times New Roman"/>
          <w:sz w:val="16"/>
          <w:szCs w:val="16"/>
          <w:lang w:val="nl-NL"/>
        </w:rPr>
        <w:t xml:space="preserve"> 08.03.20</w:t>
      </w:r>
      <w:r w:rsidRPr="00B11A49">
        <w:rPr>
          <w:rFonts w:ascii="Times New Roman" w:eastAsia="Calibri" w:hAnsi="Times New Roman" w:cs="Times New Roman"/>
          <w:sz w:val="16"/>
          <w:szCs w:val="16"/>
          <w:lang w:val="nl-NL"/>
        </w:rPr>
        <w:t>17 “Për miratimin e strukturës dhe nivelit të pagave të nëpunësve civile/nëpunësve, zëvend</w:t>
      </w:r>
      <w:r w:rsidRPr="00B11A49">
        <w:rPr>
          <w:rFonts w:ascii="Times New Roman" w:hAnsi="Times New Roman" w:cs="Times New Roman"/>
          <w:sz w:val="16"/>
          <w:szCs w:val="16"/>
          <w:lang w:val="nl-NL"/>
        </w:rPr>
        <w:t>ësministrit dhe nënpunë</w:t>
      </w:r>
      <w:r w:rsidRPr="00B11A49">
        <w:rPr>
          <w:rFonts w:ascii="Times New Roman" w:eastAsia="Calibri" w:hAnsi="Times New Roman" w:cs="Times New Roman"/>
          <w:sz w:val="16"/>
          <w:szCs w:val="16"/>
          <w:lang w:val="nl-NL"/>
        </w:rPr>
        <w:t xml:space="preserve">sve te kabinetit, ne Kryeministri, aparatet e ministrive te linjes, administraten e presidentit, kuvendit, disa institucione te pavarura, institucione ne varesi te Kryeminstrit, institucionet ne varësi te ministrive te linjes dhe administratën e Prefektit”,  </w:t>
      </w:r>
      <w:r w:rsidRPr="00B11A49">
        <w:rPr>
          <w:rFonts w:ascii="Times New Roman" w:hAnsi="Times New Roman" w:cs="Times New Roman"/>
          <w:sz w:val="16"/>
          <w:szCs w:val="16"/>
          <w:lang w:val="nl-NL"/>
        </w:rPr>
        <w:t>i ndryshuar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7671"/>
      <w:docPartObj>
        <w:docPartGallery w:val="Page Numbers (Bottom of Page)"/>
        <w:docPartUnique/>
      </w:docPartObj>
    </w:sdtPr>
    <w:sdtContent>
      <w:p w:rsidR="00ED1D5B" w:rsidRDefault="003D54E2">
        <w:pPr>
          <w:pStyle w:val="Footer"/>
          <w:jc w:val="right"/>
        </w:pPr>
        <w:fldSimple w:instr=" PAGE   \* MERGEFORMAT ">
          <w:r w:rsidR="00883224">
            <w:rPr>
              <w:noProof/>
            </w:rPr>
            <w:t>5</w:t>
          </w:r>
        </w:fldSimple>
      </w:p>
    </w:sdtContent>
  </w:sdt>
  <w:p w:rsidR="00ED1D5B" w:rsidRDefault="00ED1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84" w:rsidRDefault="00F63384" w:rsidP="007E2393">
      <w:pPr>
        <w:spacing w:after="0" w:line="240" w:lineRule="auto"/>
      </w:pPr>
      <w:r>
        <w:separator/>
      </w:r>
    </w:p>
  </w:footnote>
  <w:footnote w:type="continuationSeparator" w:id="0">
    <w:p w:rsidR="00F63384" w:rsidRDefault="00F63384" w:rsidP="007E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17D"/>
    <w:multiLevelType w:val="hybridMultilevel"/>
    <w:tmpl w:val="782E1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21398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F22"/>
    <w:multiLevelType w:val="hybridMultilevel"/>
    <w:tmpl w:val="3E048788"/>
    <w:lvl w:ilvl="0" w:tplc="0262B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683"/>
    <w:multiLevelType w:val="hybridMultilevel"/>
    <w:tmpl w:val="4C907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15FC"/>
    <w:multiLevelType w:val="hybridMultilevel"/>
    <w:tmpl w:val="B6EE7E42"/>
    <w:lvl w:ilvl="0" w:tplc="3E6CF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571C"/>
    <w:multiLevelType w:val="hybridMultilevel"/>
    <w:tmpl w:val="CFEE8100"/>
    <w:lvl w:ilvl="0" w:tplc="FC40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738A5"/>
    <w:multiLevelType w:val="hybridMultilevel"/>
    <w:tmpl w:val="8592C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C6B18"/>
    <w:multiLevelType w:val="hybridMultilevel"/>
    <w:tmpl w:val="44E0C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D3B43"/>
    <w:multiLevelType w:val="hybridMultilevel"/>
    <w:tmpl w:val="3230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46BE"/>
    <w:multiLevelType w:val="hybridMultilevel"/>
    <w:tmpl w:val="51021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3C81"/>
    <w:multiLevelType w:val="hybridMultilevel"/>
    <w:tmpl w:val="A7921B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6AEA"/>
    <w:multiLevelType w:val="hybridMultilevel"/>
    <w:tmpl w:val="9ECE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82F"/>
    <w:rsid w:val="00076C94"/>
    <w:rsid w:val="00100836"/>
    <w:rsid w:val="00125EBC"/>
    <w:rsid w:val="001869A0"/>
    <w:rsid w:val="001C695D"/>
    <w:rsid w:val="001E3A77"/>
    <w:rsid w:val="0020329F"/>
    <w:rsid w:val="00280E25"/>
    <w:rsid w:val="002A5FF8"/>
    <w:rsid w:val="003208A8"/>
    <w:rsid w:val="00325DB4"/>
    <w:rsid w:val="003850E8"/>
    <w:rsid w:val="003D0086"/>
    <w:rsid w:val="003D4BCF"/>
    <w:rsid w:val="003D54E2"/>
    <w:rsid w:val="00476762"/>
    <w:rsid w:val="004816D3"/>
    <w:rsid w:val="0069067E"/>
    <w:rsid w:val="006A5DDA"/>
    <w:rsid w:val="006A75EB"/>
    <w:rsid w:val="0071463E"/>
    <w:rsid w:val="007E2393"/>
    <w:rsid w:val="00823B0D"/>
    <w:rsid w:val="00883224"/>
    <w:rsid w:val="008A0EB3"/>
    <w:rsid w:val="008B07E1"/>
    <w:rsid w:val="00A15355"/>
    <w:rsid w:val="00A741D6"/>
    <w:rsid w:val="00AA7582"/>
    <w:rsid w:val="00B0749A"/>
    <w:rsid w:val="00B11A49"/>
    <w:rsid w:val="00B54033"/>
    <w:rsid w:val="00BA5C76"/>
    <w:rsid w:val="00C70417"/>
    <w:rsid w:val="00CF75FB"/>
    <w:rsid w:val="00D273E5"/>
    <w:rsid w:val="00D966F2"/>
    <w:rsid w:val="00DE53EB"/>
    <w:rsid w:val="00E57E85"/>
    <w:rsid w:val="00EA76DC"/>
    <w:rsid w:val="00EB382F"/>
    <w:rsid w:val="00ED1D5B"/>
    <w:rsid w:val="00F247E2"/>
    <w:rsid w:val="00F440D3"/>
    <w:rsid w:val="00F6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0E8"/>
    <w:pPr>
      <w:ind w:left="720"/>
      <w:contextualSpacing/>
    </w:pPr>
  </w:style>
  <w:style w:type="paragraph" w:customStyle="1" w:styleId="Default">
    <w:name w:val="Default"/>
    <w:rsid w:val="003850E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3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3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23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5B"/>
  </w:style>
  <w:style w:type="paragraph" w:styleId="Footer">
    <w:name w:val="footer"/>
    <w:basedOn w:val="Normal"/>
    <w:link w:val="FooterChar"/>
    <w:uiPriority w:val="99"/>
    <w:unhideWhenUsed/>
    <w:rsid w:val="00ED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69F5-BA20-48AB-A733-471C949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40</cp:revision>
  <dcterms:created xsi:type="dcterms:W3CDTF">2021-04-02T11:22:00Z</dcterms:created>
  <dcterms:modified xsi:type="dcterms:W3CDTF">2021-04-20T12:52:00Z</dcterms:modified>
</cp:coreProperties>
</file>